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4E1D" w14:textId="77777777" w:rsidR="00942371" w:rsidRDefault="00942371" w:rsidP="00942371">
      <w:pPr>
        <w:spacing w:after="0" w:line="240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SCHEDULE OF FINES AND PENALTIES</w:t>
      </w:r>
    </w:p>
    <w:p w14:paraId="739F8A78" w14:textId="77777777" w:rsidR="00942371" w:rsidRDefault="00942371" w:rsidP="00942371">
      <w:pPr>
        <w:spacing w:after="0" w:line="240" w:lineRule="auto"/>
        <w:rPr>
          <w:rFonts w:ascii="Arial" w:eastAsia="Arial" w:hAnsi="Arial" w:cs="Arial"/>
          <w:sz w:val="22"/>
        </w:rPr>
      </w:pPr>
    </w:p>
    <w:p w14:paraId="4A9018ED" w14:textId="3CA10410" w:rsidR="00942371" w:rsidRDefault="00942371" w:rsidP="00942371">
      <w:pPr>
        <w:spacing w:after="0" w:line="24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Pursuant to Section 30 of the EEC Act, the following shall be the penalties provided for violations of the prohibited acts enumerated under Section </w:t>
      </w:r>
      <w:r w:rsidR="00FE3526">
        <w:rPr>
          <w:rFonts w:ascii="Arial" w:eastAsia="Arial" w:hAnsi="Arial" w:cs="Arial"/>
          <w:sz w:val="22"/>
        </w:rPr>
        <w:t>18</w:t>
      </w:r>
      <w:r>
        <w:rPr>
          <w:rFonts w:ascii="Arial" w:eastAsia="Arial" w:hAnsi="Arial" w:cs="Arial"/>
          <w:sz w:val="22"/>
        </w:rPr>
        <w:t xml:space="preserve"> of this Department Circular as follows:</w:t>
      </w:r>
    </w:p>
    <w:p w14:paraId="15191557" w14:textId="77777777" w:rsidR="00942371" w:rsidRDefault="00942371" w:rsidP="00942371">
      <w:pPr>
        <w:spacing w:after="0" w:line="240" w:lineRule="auto"/>
        <w:rPr>
          <w:rFonts w:ascii="Arial" w:eastAsia="Arial" w:hAnsi="Arial" w:cs="Arial"/>
          <w:sz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2160"/>
        <w:gridCol w:w="2070"/>
        <w:gridCol w:w="2094"/>
      </w:tblGrid>
      <w:tr w:rsidR="00942371" w14:paraId="133BA7BE" w14:textId="77777777" w:rsidTr="00091A17">
        <w:trPr>
          <w:trHeight w:val="530"/>
        </w:trPr>
        <w:tc>
          <w:tcPr>
            <w:tcW w:w="2695" w:type="dxa"/>
            <w:vMerge w:val="restart"/>
            <w:vAlign w:val="center"/>
          </w:tcPr>
          <w:p w14:paraId="7E546AE4" w14:textId="77777777" w:rsidR="00942371" w:rsidRDefault="00942371" w:rsidP="00091A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Violation</w:t>
            </w:r>
          </w:p>
        </w:tc>
        <w:tc>
          <w:tcPr>
            <w:tcW w:w="6324" w:type="dxa"/>
            <w:gridSpan w:val="3"/>
            <w:vAlign w:val="center"/>
          </w:tcPr>
          <w:p w14:paraId="0795A731" w14:textId="77777777" w:rsidR="00942371" w:rsidRDefault="00942371" w:rsidP="00091A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Penalties and Fines (in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PhP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>)</w:t>
            </w:r>
          </w:p>
        </w:tc>
      </w:tr>
      <w:tr w:rsidR="00942371" w14:paraId="01898EEE" w14:textId="77777777" w:rsidTr="00091A17">
        <w:trPr>
          <w:trHeight w:val="530"/>
        </w:trPr>
        <w:tc>
          <w:tcPr>
            <w:tcW w:w="2695" w:type="dxa"/>
            <w:vMerge/>
            <w:vAlign w:val="center"/>
          </w:tcPr>
          <w:p w14:paraId="729EEC8D" w14:textId="77777777" w:rsidR="00942371" w:rsidRDefault="00942371" w:rsidP="00091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55E5D6D5" w14:textId="77777777" w:rsidR="00942371" w:rsidRDefault="00942371" w:rsidP="00091A17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22"/>
              </w:rPr>
              <w:t>10,000.00</w:t>
            </w:r>
          </w:p>
        </w:tc>
        <w:tc>
          <w:tcPr>
            <w:tcW w:w="2070" w:type="dxa"/>
            <w:vAlign w:val="center"/>
          </w:tcPr>
          <w:p w14:paraId="6D6F7BB9" w14:textId="77777777" w:rsidR="00942371" w:rsidRDefault="00942371" w:rsidP="00091A17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22"/>
              </w:rPr>
              <w:t>15,000.00</w:t>
            </w:r>
          </w:p>
        </w:tc>
        <w:tc>
          <w:tcPr>
            <w:tcW w:w="2094" w:type="dxa"/>
            <w:vAlign w:val="center"/>
          </w:tcPr>
          <w:p w14:paraId="68EA59F2" w14:textId="77777777" w:rsidR="00942371" w:rsidRDefault="00942371" w:rsidP="00091A17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22"/>
              </w:rPr>
              <w:t>20,000.00</w:t>
            </w:r>
          </w:p>
        </w:tc>
      </w:tr>
      <w:tr w:rsidR="00942371" w14:paraId="335A2959" w14:textId="77777777" w:rsidTr="007B2C47">
        <w:tc>
          <w:tcPr>
            <w:tcW w:w="2695" w:type="dxa"/>
          </w:tcPr>
          <w:p w14:paraId="5EE2AA4C" w14:textId="6DECE801" w:rsidR="00942371" w:rsidRDefault="00FE3526" w:rsidP="000D6D7C">
            <w:pPr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 w:rsidRPr="00FE3526">
              <w:rPr>
                <w:rFonts w:ascii="Arial" w:eastAsia="Arial" w:hAnsi="Arial" w:cs="Arial"/>
                <w:sz w:val="22"/>
              </w:rPr>
              <w:t>Failure of RTI to comply with the responsibilities set forth under Section 11 of this Department Circular</w:t>
            </w:r>
            <w:r>
              <w:rPr>
                <w:rFonts w:ascii="Arial" w:eastAsia="Arial" w:hAnsi="Arial" w:cs="Arial"/>
                <w:sz w:val="22"/>
              </w:rPr>
              <w:t>.</w:t>
            </w:r>
          </w:p>
        </w:tc>
        <w:tc>
          <w:tcPr>
            <w:tcW w:w="2160" w:type="dxa"/>
          </w:tcPr>
          <w:p w14:paraId="38AC191D" w14:textId="77777777" w:rsidR="00942371" w:rsidRDefault="00942371" w:rsidP="000D6D7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1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2"/>
              </w:rPr>
              <w:t xml:space="preserve"> Offense</w:t>
            </w:r>
          </w:p>
        </w:tc>
        <w:tc>
          <w:tcPr>
            <w:tcW w:w="2070" w:type="dxa"/>
          </w:tcPr>
          <w:p w14:paraId="3D4C341E" w14:textId="77777777" w:rsidR="00942371" w:rsidRDefault="00942371" w:rsidP="000D6D7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2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2"/>
              </w:rPr>
              <w:t xml:space="preserve"> Offense</w:t>
            </w:r>
          </w:p>
        </w:tc>
        <w:tc>
          <w:tcPr>
            <w:tcW w:w="2094" w:type="dxa"/>
          </w:tcPr>
          <w:p w14:paraId="2F7840C9" w14:textId="77777777" w:rsidR="00942371" w:rsidRDefault="00942371" w:rsidP="000D6D7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3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2"/>
              </w:rPr>
              <w:t xml:space="preserve"> Offense with Revocation of Certification</w:t>
            </w:r>
          </w:p>
        </w:tc>
      </w:tr>
      <w:tr w:rsidR="00FE3526" w14:paraId="3F6D61DA" w14:textId="77777777" w:rsidTr="007B2C47">
        <w:tc>
          <w:tcPr>
            <w:tcW w:w="2695" w:type="dxa"/>
          </w:tcPr>
          <w:p w14:paraId="0E615A29" w14:textId="479A1360" w:rsidR="00FE3526" w:rsidRPr="00FE3526" w:rsidRDefault="00FE3526" w:rsidP="000D6D7C">
            <w:pPr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Failure of EA to comply with the responsibilities set forth under Section 6 of this Department Circular.</w:t>
            </w:r>
          </w:p>
        </w:tc>
        <w:tc>
          <w:tcPr>
            <w:tcW w:w="2160" w:type="dxa"/>
          </w:tcPr>
          <w:p w14:paraId="47CC9FF3" w14:textId="1B08C2C5" w:rsidR="00FE3526" w:rsidRDefault="00FE3526" w:rsidP="000D6D7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1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2"/>
              </w:rPr>
              <w:t xml:space="preserve"> Offense</w:t>
            </w:r>
          </w:p>
        </w:tc>
        <w:tc>
          <w:tcPr>
            <w:tcW w:w="2070" w:type="dxa"/>
          </w:tcPr>
          <w:p w14:paraId="10210AF1" w14:textId="3A24CCBE" w:rsidR="00FE3526" w:rsidRDefault="00FE3526" w:rsidP="000D6D7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2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2"/>
              </w:rPr>
              <w:t xml:space="preserve"> Offense</w:t>
            </w:r>
          </w:p>
        </w:tc>
        <w:tc>
          <w:tcPr>
            <w:tcW w:w="2094" w:type="dxa"/>
          </w:tcPr>
          <w:p w14:paraId="5EAD74F9" w14:textId="30CF724F" w:rsidR="00FE3526" w:rsidRDefault="00FE3526" w:rsidP="000D6D7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3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2"/>
              </w:rPr>
              <w:t xml:space="preserve"> Offense with Revocation of Certification</w:t>
            </w:r>
          </w:p>
        </w:tc>
      </w:tr>
      <w:tr w:rsidR="00942371" w14:paraId="5259F5C2" w14:textId="77777777" w:rsidTr="007B2C47">
        <w:tc>
          <w:tcPr>
            <w:tcW w:w="2695" w:type="dxa"/>
          </w:tcPr>
          <w:p w14:paraId="50D9FE3D" w14:textId="6BC6D25A" w:rsidR="00942371" w:rsidRDefault="00FE3526" w:rsidP="000D6D7C">
            <w:pPr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 w:rsidRPr="00FE3526">
              <w:rPr>
                <w:rFonts w:ascii="Arial" w:eastAsia="Arial" w:hAnsi="Arial" w:cs="Arial"/>
                <w:sz w:val="22"/>
              </w:rPr>
              <w:t>RTI who conducts trainings and/or similar seminars related to the DOE Training Regulations without recognition</w:t>
            </w:r>
            <w:r w:rsidR="000D6D7C">
              <w:rPr>
                <w:rFonts w:ascii="Arial" w:eastAsia="Arial" w:hAnsi="Arial" w:cs="Arial"/>
                <w:sz w:val="22"/>
              </w:rPr>
              <w:t>.</w:t>
            </w:r>
          </w:p>
        </w:tc>
        <w:tc>
          <w:tcPr>
            <w:tcW w:w="2160" w:type="dxa"/>
          </w:tcPr>
          <w:p w14:paraId="55FB5DEC" w14:textId="77777777" w:rsidR="00942371" w:rsidRDefault="00942371" w:rsidP="000D6D7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1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2"/>
              </w:rPr>
              <w:t xml:space="preserve"> Offense</w:t>
            </w:r>
          </w:p>
        </w:tc>
        <w:tc>
          <w:tcPr>
            <w:tcW w:w="2070" w:type="dxa"/>
          </w:tcPr>
          <w:p w14:paraId="274F18ED" w14:textId="77777777" w:rsidR="00942371" w:rsidRDefault="00942371" w:rsidP="000D6D7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2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2"/>
              </w:rPr>
              <w:t xml:space="preserve"> Offense</w:t>
            </w:r>
          </w:p>
        </w:tc>
        <w:tc>
          <w:tcPr>
            <w:tcW w:w="2094" w:type="dxa"/>
          </w:tcPr>
          <w:p w14:paraId="207C0F0C" w14:textId="77777777" w:rsidR="00942371" w:rsidRDefault="00942371" w:rsidP="000D6D7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3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2"/>
              </w:rPr>
              <w:t xml:space="preserve"> Offense with Revocation of Certification</w:t>
            </w:r>
          </w:p>
        </w:tc>
      </w:tr>
      <w:tr w:rsidR="00942371" w14:paraId="3D40E52B" w14:textId="77777777" w:rsidTr="007B2C47">
        <w:tc>
          <w:tcPr>
            <w:tcW w:w="2695" w:type="dxa"/>
          </w:tcPr>
          <w:p w14:paraId="0F2056A3" w14:textId="48AD5D41" w:rsidR="00942371" w:rsidRDefault="00FE3526" w:rsidP="000D6D7C">
            <w:pPr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 w:rsidRPr="00FE3526">
              <w:rPr>
                <w:rFonts w:ascii="Arial" w:eastAsia="Arial" w:hAnsi="Arial" w:cs="Arial"/>
                <w:sz w:val="22"/>
              </w:rPr>
              <w:t>Failure to provide accurate information or the provision of false or misleading information as required by this Department Circular</w:t>
            </w:r>
            <w:r w:rsidR="000D6D7C">
              <w:rPr>
                <w:rFonts w:ascii="Arial" w:eastAsia="Arial" w:hAnsi="Arial" w:cs="Arial"/>
                <w:sz w:val="22"/>
              </w:rPr>
              <w:t>.</w:t>
            </w:r>
          </w:p>
        </w:tc>
        <w:tc>
          <w:tcPr>
            <w:tcW w:w="2160" w:type="dxa"/>
          </w:tcPr>
          <w:p w14:paraId="66A861B0" w14:textId="77777777" w:rsidR="00942371" w:rsidRDefault="00942371" w:rsidP="000D6D7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1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2"/>
              </w:rPr>
              <w:t xml:space="preserve"> Offense</w:t>
            </w:r>
          </w:p>
        </w:tc>
        <w:tc>
          <w:tcPr>
            <w:tcW w:w="2070" w:type="dxa"/>
          </w:tcPr>
          <w:p w14:paraId="64B878CC" w14:textId="77777777" w:rsidR="00942371" w:rsidRDefault="00942371" w:rsidP="000D6D7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2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2"/>
              </w:rPr>
              <w:t xml:space="preserve"> Offense</w:t>
            </w:r>
          </w:p>
        </w:tc>
        <w:tc>
          <w:tcPr>
            <w:tcW w:w="2094" w:type="dxa"/>
          </w:tcPr>
          <w:p w14:paraId="13FF1E7A" w14:textId="77777777" w:rsidR="00942371" w:rsidRDefault="00942371" w:rsidP="000D6D7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3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2"/>
              </w:rPr>
              <w:t xml:space="preserve"> Offense with Revocation of Certification</w:t>
            </w:r>
          </w:p>
        </w:tc>
      </w:tr>
      <w:tr w:rsidR="000D6D7C" w14:paraId="4E78197A" w14:textId="77777777" w:rsidTr="007B2C47">
        <w:tc>
          <w:tcPr>
            <w:tcW w:w="2695" w:type="dxa"/>
          </w:tcPr>
          <w:p w14:paraId="2F03D763" w14:textId="70762FD0" w:rsidR="000D6D7C" w:rsidRPr="00FE3526" w:rsidRDefault="000D6D7C" w:rsidP="000D6D7C">
            <w:pPr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 w:rsidRPr="00FE3526">
              <w:rPr>
                <w:rFonts w:ascii="Arial" w:eastAsia="Arial" w:hAnsi="Arial" w:cs="Arial"/>
                <w:sz w:val="22"/>
              </w:rPr>
              <w:t>Failure to comply with issued orders of the DOE in discharge of its enforcement powers.</w:t>
            </w:r>
          </w:p>
        </w:tc>
        <w:tc>
          <w:tcPr>
            <w:tcW w:w="2160" w:type="dxa"/>
          </w:tcPr>
          <w:p w14:paraId="416ABBF8" w14:textId="2992FE15" w:rsidR="000D6D7C" w:rsidRDefault="000D6D7C" w:rsidP="000D6D7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1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2"/>
              </w:rPr>
              <w:t xml:space="preserve"> Offense</w:t>
            </w:r>
          </w:p>
        </w:tc>
        <w:tc>
          <w:tcPr>
            <w:tcW w:w="2070" w:type="dxa"/>
          </w:tcPr>
          <w:p w14:paraId="36B9EC1D" w14:textId="072A270D" w:rsidR="000D6D7C" w:rsidRDefault="000D6D7C" w:rsidP="000D6D7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2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2"/>
              </w:rPr>
              <w:t xml:space="preserve"> Offense</w:t>
            </w:r>
          </w:p>
        </w:tc>
        <w:tc>
          <w:tcPr>
            <w:tcW w:w="2094" w:type="dxa"/>
          </w:tcPr>
          <w:p w14:paraId="15A3F845" w14:textId="7728D2C5" w:rsidR="000D6D7C" w:rsidRDefault="000D6D7C" w:rsidP="000D6D7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3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2"/>
              </w:rPr>
              <w:t xml:space="preserve"> Offense with Revocation of Certification</w:t>
            </w:r>
          </w:p>
        </w:tc>
      </w:tr>
    </w:tbl>
    <w:p w14:paraId="7DA47AF5" w14:textId="77777777" w:rsidR="00942371" w:rsidRDefault="00942371" w:rsidP="00942371">
      <w:pPr>
        <w:spacing w:after="0" w:line="240" w:lineRule="auto"/>
        <w:rPr>
          <w:rFonts w:ascii="Arial" w:eastAsia="Arial" w:hAnsi="Arial" w:cs="Arial"/>
          <w:sz w:val="22"/>
        </w:rPr>
      </w:pPr>
    </w:p>
    <w:p w14:paraId="2A0E0F21" w14:textId="77777777" w:rsidR="00942371" w:rsidRDefault="00942371" w:rsidP="00942371">
      <w:pPr>
        <w:spacing w:after="0" w:line="240" w:lineRule="auto"/>
        <w:rPr>
          <w:rFonts w:ascii="Arial" w:eastAsia="Arial" w:hAnsi="Arial" w:cs="Arial"/>
          <w:sz w:val="22"/>
        </w:rPr>
      </w:pPr>
    </w:p>
    <w:p w14:paraId="78671DDB" w14:textId="77777777" w:rsidR="00942371" w:rsidRDefault="00942371" w:rsidP="00942371">
      <w:pPr>
        <w:spacing w:after="0" w:line="240" w:lineRule="auto"/>
        <w:jc w:val="both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>* The imposition of the administrative fines and penalties stated above shall be on a “per violation” basis and without prejudice to the revocation of the certification and/or blacklisting of the said individual.</w:t>
      </w:r>
    </w:p>
    <w:p w14:paraId="26F15598" w14:textId="77777777" w:rsidR="00942371" w:rsidRDefault="00942371" w:rsidP="00942371">
      <w:pPr>
        <w:spacing w:after="0" w:line="240" w:lineRule="auto"/>
        <w:jc w:val="both"/>
        <w:rPr>
          <w:rFonts w:ascii="Arial" w:eastAsia="Arial" w:hAnsi="Arial" w:cs="Arial"/>
          <w:i/>
          <w:sz w:val="22"/>
        </w:rPr>
      </w:pPr>
    </w:p>
    <w:sectPr w:rsidR="00942371" w:rsidSect="00D5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F717" w14:textId="77777777" w:rsidR="006F64C2" w:rsidRDefault="006F64C2" w:rsidP="0040585C">
      <w:pPr>
        <w:spacing w:after="0" w:line="240" w:lineRule="auto"/>
      </w:pPr>
      <w:r>
        <w:separator/>
      </w:r>
    </w:p>
  </w:endnote>
  <w:endnote w:type="continuationSeparator" w:id="0">
    <w:p w14:paraId="5CB26A06" w14:textId="77777777" w:rsidR="006F64C2" w:rsidRDefault="006F64C2" w:rsidP="0040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601B" w14:textId="77777777" w:rsidR="00235A52" w:rsidRDefault="00235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B63E" w14:textId="4DCDBFB6" w:rsidR="0040585C" w:rsidRPr="0040585C" w:rsidRDefault="0040585C" w:rsidP="0040585C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1B84" w14:textId="77777777" w:rsidR="00235A52" w:rsidRDefault="00235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04EC" w14:textId="77777777" w:rsidR="006F64C2" w:rsidRDefault="006F64C2" w:rsidP="0040585C">
      <w:pPr>
        <w:spacing w:after="0" w:line="240" w:lineRule="auto"/>
      </w:pPr>
      <w:r>
        <w:separator/>
      </w:r>
    </w:p>
  </w:footnote>
  <w:footnote w:type="continuationSeparator" w:id="0">
    <w:p w14:paraId="61A36F2A" w14:textId="77777777" w:rsidR="006F64C2" w:rsidRDefault="006F64C2" w:rsidP="0040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E447" w14:textId="77777777" w:rsidR="00235A52" w:rsidRDefault="00235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36"/>
      <w:gridCol w:w="4967"/>
      <w:gridCol w:w="1617"/>
      <w:gridCol w:w="2325"/>
    </w:tblGrid>
    <w:tr w:rsidR="005B4F06" w:rsidRPr="009F1ADC" w14:paraId="2A63FDD9" w14:textId="77777777" w:rsidTr="0023743A">
      <w:trPr>
        <w:trHeight w:val="350"/>
        <w:jc w:val="center"/>
      </w:trPr>
      <w:tc>
        <w:tcPr>
          <w:tcW w:w="2036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54CB5090" w14:textId="77777777" w:rsidR="005B4F06" w:rsidRPr="009F1ADC" w:rsidRDefault="005B4F06" w:rsidP="005B4F06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38111FF8" wp14:editId="04043B79">
                <wp:extent cx="1013460" cy="9753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16DE8B44" w14:textId="77777777" w:rsidR="005B4F06" w:rsidRPr="009F1ADC" w:rsidRDefault="005B4F06" w:rsidP="005B4F0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Cs w:val="24"/>
            </w:rPr>
          </w:pPr>
          <w:r>
            <w:rPr>
              <w:rFonts w:ascii="Arial" w:hAnsi="Arial" w:cs="Arial"/>
              <w:b/>
              <w:color w:val="000000"/>
              <w:szCs w:val="24"/>
            </w:rPr>
            <w:t>EUMB - EPMPD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2917934" w14:textId="77777777" w:rsidR="005B4F06" w:rsidRPr="009F1ADC" w:rsidRDefault="005B4F06" w:rsidP="005B4F06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325" w:type="dxa"/>
          <w:shd w:val="clear" w:color="auto" w:fill="auto"/>
          <w:vAlign w:val="center"/>
        </w:tcPr>
        <w:p w14:paraId="51E3C75C" w14:textId="4D7908DF" w:rsidR="005B4F06" w:rsidRPr="000D3106" w:rsidRDefault="005B4F06" w:rsidP="005B4F06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>
            <w:rPr>
              <w:rFonts w:ascii="Arial" w:hAnsi="Arial" w:cs="Arial"/>
              <w:b/>
              <w:sz w:val="18"/>
              <w:szCs w:val="18"/>
            </w:rPr>
            <w:t>UMB-EPMPD-</w:t>
          </w:r>
          <w:r w:rsidR="004E513A">
            <w:rPr>
              <w:rFonts w:ascii="Arial" w:hAnsi="Arial" w:cs="Arial"/>
              <w:b/>
              <w:sz w:val="18"/>
              <w:szCs w:val="18"/>
            </w:rPr>
            <w:t>CEA</w:t>
          </w:r>
        </w:p>
      </w:tc>
    </w:tr>
    <w:tr w:rsidR="005B4F06" w:rsidRPr="009F1ADC" w14:paraId="467919A6" w14:textId="77777777" w:rsidTr="0023743A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14:paraId="590E371C" w14:textId="77777777" w:rsidR="005B4F06" w:rsidRPr="009F1ADC" w:rsidRDefault="005B4F06" w:rsidP="005B4F06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11651FBE" w14:textId="77777777" w:rsidR="005B4F06" w:rsidRPr="009F1ADC" w:rsidRDefault="005B4F06" w:rsidP="0074363E">
          <w:pPr>
            <w:tabs>
              <w:tab w:val="center" w:pos="4680"/>
              <w:tab w:val="right" w:pos="9360"/>
            </w:tabs>
            <w:spacing w:after="0" w:line="259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F7F6515" w14:textId="77777777" w:rsidR="005B4F06" w:rsidRPr="009F1ADC" w:rsidRDefault="005B4F06" w:rsidP="005B4F06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325" w:type="dxa"/>
          <w:shd w:val="clear" w:color="auto" w:fill="auto"/>
          <w:vAlign w:val="center"/>
        </w:tcPr>
        <w:p w14:paraId="0555C527" w14:textId="3D9351AA" w:rsidR="005B4F06" w:rsidRPr="000D3106" w:rsidRDefault="005B4F06" w:rsidP="005B4F06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5B4F06" w:rsidRPr="009F1ADC" w14:paraId="1767DE2F" w14:textId="77777777" w:rsidTr="0023743A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14:paraId="2ED9BCCA" w14:textId="77777777" w:rsidR="005B4F06" w:rsidRPr="009F1ADC" w:rsidRDefault="005B4F06" w:rsidP="005B4F06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7709A3" w14:textId="6744DA4D" w:rsidR="005B4F06" w:rsidRPr="003A4254" w:rsidRDefault="001A173D" w:rsidP="0074363E">
          <w:pPr>
            <w:tabs>
              <w:tab w:val="center" w:pos="4680"/>
              <w:tab w:val="right" w:pos="9360"/>
            </w:tabs>
            <w:spacing w:after="0" w:line="259" w:lineRule="auto"/>
            <w:jc w:val="center"/>
            <w:rPr>
              <w:rFonts w:ascii="Arial" w:hAnsi="Arial" w:cs="Arial"/>
              <w:b/>
            </w:rPr>
          </w:pPr>
          <w:r w:rsidRPr="003A4254">
            <w:rPr>
              <w:rFonts w:ascii="Arial" w:hAnsi="Arial" w:cs="Arial"/>
              <w:b/>
            </w:rPr>
            <w:t>SCHEDULE OF FINES AND PENALTIES</w:t>
          </w:r>
        </w:p>
        <w:p w14:paraId="28FE2AB7" w14:textId="61B40A2D" w:rsidR="005B4F06" w:rsidRPr="003A4254" w:rsidRDefault="005B4F06" w:rsidP="0074363E">
          <w:pPr>
            <w:tabs>
              <w:tab w:val="center" w:pos="4680"/>
              <w:tab w:val="right" w:pos="9360"/>
            </w:tabs>
            <w:spacing w:after="0" w:line="259" w:lineRule="auto"/>
            <w:jc w:val="center"/>
            <w:rPr>
              <w:rFonts w:ascii="Arial" w:hAnsi="Arial" w:cs="Arial"/>
              <w:b/>
            </w:rPr>
          </w:pPr>
          <w:r w:rsidRPr="003A4254">
            <w:rPr>
              <w:rFonts w:ascii="Arial" w:hAnsi="Arial" w:cs="Arial"/>
              <w:b/>
            </w:rPr>
            <w:t xml:space="preserve">(ANNEX </w:t>
          </w:r>
          <w:r w:rsidR="00235A52">
            <w:rPr>
              <w:rFonts w:ascii="Arial" w:hAnsi="Arial" w:cs="Arial"/>
              <w:b/>
            </w:rPr>
            <w:t>I</w:t>
          </w:r>
          <w:r w:rsidRPr="003A4254">
            <w:rPr>
              <w:rFonts w:ascii="Arial" w:hAnsi="Arial" w:cs="Arial"/>
              <w:b/>
            </w:rPr>
            <w:t>)</w:t>
          </w:r>
        </w:p>
      </w:tc>
      <w:tc>
        <w:tcPr>
          <w:tcW w:w="161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9B96DA5" w14:textId="77777777" w:rsidR="005B4F06" w:rsidRPr="009F1ADC" w:rsidRDefault="005B4F06" w:rsidP="005B4F06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32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9B03181" w14:textId="77777777" w:rsidR="005B4F06" w:rsidRPr="000D3106" w:rsidRDefault="005B4F06" w:rsidP="005B4F06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5B4F06" w:rsidRPr="009F1ADC" w14:paraId="406D3182" w14:textId="77777777" w:rsidTr="0023743A">
      <w:trPr>
        <w:trHeight w:val="359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14:paraId="06C36D05" w14:textId="77777777" w:rsidR="005B4F06" w:rsidRPr="009F1ADC" w:rsidRDefault="005B4F06" w:rsidP="005B4F06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3A1849" w14:textId="77777777" w:rsidR="005B4F06" w:rsidRPr="009F1ADC" w:rsidRDefault="005B4F06" w:rsidP="005B4F0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61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59C25639" w14:textId="77777777" w:rsidR="005B4F06" w:rsidRPr="009F1ADC" w:rsidRDefault="005B4F06" w:rsidP="005B4F06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325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F72C145" w14:textId="6FD3B13C" w:rsidR="005B4F06" w:rsidRPr="000D3106" w:rsidRDefault="005B4F06" w:rsidP="005B4F06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66A04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66A04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6C1DB8B7" w14:textId="77777777" w:rsidR="005B4F06" w:rsidRDefault="005B4F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77E8" w14:textId="77777777" w:rsidR="00235A52" w:rsidRDefault="00235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94D"/>
    <w:multiLevelType w:val="hybridMultilevel"/>
    <w:tmpl w:val="F57C450A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F3409F36">
      <w:start w:val="1"/>
      <w:numFmt w:val="lowerLetter"/>
      <w:lvlText w:val="%3."/>
      <w:lvlJc w:val="right"/>
      <w:pPr>
        <w:ind w:left="1800" w:hanging="180"/>
      </w:pPr>
      <w:rPr>
        <w:rFonts w:ascii="Arial" w:eastAsiaTheme="minorHAnsi" w:hAnsi="Arial" w:cs="Arial"/>
      </w:r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00E31"/>
    <w:multiLevelType w:val="hybridMultilevel"/>
    <w:tmpl w:val="EA9AB76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6C6AB5C4">
      <w:start w:val="1"/>
      <w:numFmt w:val="decimal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D5D06"/>
    <w:multiLevelType w:val="hybridMultilevel"/>
    <w:tmpl w:val="AAEEE52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80E36"/>
    <w:multiLevelType w:val="hybridMultilevel"/>
    <w:tmpl w:val="42C6046A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8F3FC8"/>
    <w:multiLevelType w:val="hybridMultilevel"/>
    <w:tmpl w:val="2168FDE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401BA"/>
    <w:multiLevelType w:val="hybridMultilevel"/>
    <w:tmpl w:val="EEBC3B0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00E3B"/>
    <w:multiLevelType w:val="hybridMultilevel"/>
    <w:tmpl w:val="B00E8B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F59EA"/>
    <w:multiLevelType w:val="hybridMultilevel"/>
    <w:tmpl w:val="F44476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N7EwMDMwM7IwMbBQ0lEKTi0uzszPAykwrAUAWsGomSwAAAA="/>
  </w:docVars>
  <w:rsids>
    <w:rsidRoot w:val="00366F12"/>
    <w:rsid w:val="00021D57"/>
    <w:rsid w:val="00022632"/>
    <w:rsid w:val="00091A17"/>
    <w:rsid w:val="000B2E10"/>
    <w:rsid w:val="000D2D51"/>
    <w:rsid w:val="000D6D7C"/>
    <w:rsid w:val="000E69AC"/>
    <w:rsid w:val="000F0409"/>
    <w:rsid w:val="00132F4D"/>
    <w:rsid w:val="00175A8F"/>
    <w:rsid w:val="00183F2A"/>
    <w:rsid w:val="0018626B"/>
    <w:rsid w:val="001A173D"/>
    <w:rsid w:val="0021088E"/>
    <w:rsid w:val="0022561F"/>
    <w:rsid w:val="00235A52"/>
    <w:rsid w:val="00272482"/>
    <w:rsid w:val="002A1814"/>
    <w:rsid w:val="002B3088"/>
    <w:rsid w:val="002F1C8B"/>
    <w:rsid w:val="00310D96"/>
    <w:rsid w:val="0035424C"/>
    <w:rsid w:val="00366A04"/>
    <w:rsid w:val="00366F12"/>
    <w:rsid w:val="003A4254"/>
    <w:rsid w:val="003D5669"/>
    <w:rsid w:val="003D7F81"/>
    <w:rsid w:val="0040585C"/>
    <w:rsid w:val="004301F8"/>
    <w:rsid w:val="004746B8"/>
    <w:rsid w:val="004B7399"/>
    <w:rsid w:val="004C11E7"/>
    <w:rsid w:val="004E513A"/>
    <w:rsid w:val="004F4A54"/>
    <w:rsid w:val="005B4F06"/>
    <w:rsid w:val="005C29EC"/>
    <w:rsid w:val="00624726"/>
    <w:rsid w:val="006837D6"/>
    <w:rsid w:val="00687BCB"/>
    <w:rsid w:val="006C2936"/>
    <w:rsid w:val="006D4F46"/>
    <w:rsid w:val="006E03C7"/>
    <w:rsid w:val="006F64C2"/>
    <w:rsid w:val="0074363E"/>
    <w:rsid w:val="0075176F"/>
    <w:rsid w:val="007841D6"/>
    <w:rsid w:val="007C7166"/>
    <w:rsid w:val="00812B96"/>
    <w:rsid w:val="008318E0"/>
    <w:rsid w:val="008834CA"/>
    <w:rsid w:val="008F395A"/>
    <w:rsid w:val="009345FB"/>
    <w:rsid w:val="00942371"/>
    <w:rsid w:val="009436D7"/>
    <w:rsid w:val="00950E9E"/>
    <w:rsid w:val="00984603"/>
    <w:rsid w:val="00A14296"/>
    <w:rsid w:val="00AA64A0"/>
    <w:rsid w:val="00AC0E7F"/>
    <w:rsid w:val="00AD1033"/>
    <w:rsid w:val="00AD3A13"/>
    <w:rsid w:val="00B510F7"/>
    <w:rsid w:val="00B52EA6"/>
    <w:rsid w:val="00B56B41"/>
    <w:rsid w:val="00B64BF2"/>
    <w:rsid w:val="00B66161"/>
    <w:rsid w:val="00B72252"/>
    <w:rsid w:val="00BA7112"/>
    <w:rsid w:val="00BD28ED"/>
    <w:rsid w:val="00BE4B8E"/>
    <w:rsid w:val="00C1126C"/>
    <w:rsid w:val="00C36E6C"/>
    <w:rsid w:val="00CB2D6E"/>
    <w:rsid w:val="00CC4F24"/>
    <w:rsid w:val="00D01770"/>
    <w:rsid w:val="00D40D46"/>
    <w:rsid w:val="00D56EE1"/>
    <w:rsid w:val="00D73084"/>
    <w:rsid w:val="00D964D8"/>
    <w:rsid w:val="00DB64AC"/>
    <w:rsid w:val="00DD72C8"/>
    <w:rsid w:val="00E23BCB"/>
    <w:rsid w:val="00E311B8"/>
    <w:rsid w:val="00E44E92"/>
    <w:rsid w:val="00EB6CC1"/>
    <w:rsid w:val="00EE386B"/>
    <w:rsid w:val="00F952D1"/>
    <w:rsid w:val="00FA5E28"/>
    <w:rsid w:val="00F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5ADF"/>
  <w15:chartTrackingRefBased/>
  <w15:docId w15:val="{FEF51EFB-015D-489E-B733-AA9CC299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1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85C"/>
  </w:style>
  <w:style w:type="paragraph" w:styleId="Footer">
    <w:name w:val="footer"/>
    <w:basedOn w:val="Normal"/>
    <w:link w:val="FooterChar"/>
    <w:uiPriority w:val="99"/>
    <w:unhideWhenUsed/>
    <w:rsid w:val="00405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Jerick Kuh D. Nalaunan</dc:creator>
  <cp:keywords/>
  <dc:description/>
  <cp:lastModifiedBy>Jerick Kuh Nalaunan</cp:lastModifiedBy>
  <cp:revision>39</cp:revision>
  <cp:lastPrinted>2021-10-14T01:55:00Z</cp:lastPrinted>
  <dcterms:created xsi:type="dcterms:W3CDTF">2021-11-01T23:34:00Z</dcterms:created>
  <dcterms:modified xsi:type="dcterms:W3CDTF">2022-02-21T06:20:00Z</dcterms:modified>
</cp:coreProperties>
</file>