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37" w:type="dxa"/>
        <w:tblLook w:val="04A0" w:firstRow="1" w:lastRow="0" w:firstColumn="1" w:lastColumn="0" w:noHBand="0" w:noVBand="1"/>
      </w:tblPr>
      <w:tblGrid>
        <w:gridCol w:w="6799"/>
        <w:gridCol w:w="4255"/>
        <w:gridCol w:w="3683"/>
      </w:tblGrid>
      <w:tr w:rsidR="00040EFE" w:rsidRPr="008F428F" w14:paraId="0EA24E5D" w14:textId="77777777" w:rsidTr="7DB4BAA9">
        <w:trPr>
          <w:trHeight w:val="262"/>
          <w:tblHeader/>
        </w:trPr>
        <w:tc>
          <w:tcPr>
            <w:tcW w:w="6799" w:type="dxa"/>
          </w:tcPr>
          <w:p w14:paraId="48D0075C" w14:textId="1608EB80"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Section</w:t>
            </w:r>
          </w:p>
        </w:tc>
        <w:tc>
          <w:tcPr>
            <w:tcW w:w="4255" w:type="dxa"/>
          </w:tcPr>
          <w:p w14:paraId="6FB73D78" w14:textId="0ED525B3"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Comments/Recommendation</w:t>
            </w:r>
          </w:p>
        </w:tc>
        <w:tc>
          <w:tcPr>
            <w:tcW w:w="3683" w:type="dxa"/>
          </w:tcPr>
          <w:p w14:paraId="63BE17C2" w14:textId="0E45D225"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Proposed/Suggested Revision</w:t>
            </w:r>
          </w:p>
        </w:tc>
      </w:tr>
      <w:tr w:rsidR="009D41CC" w:rsidRPr="008F428F" w14:paraId="6ED0F68A" w14:textId="77777777" w:rsidTr="7DB4BAA9">
        <w:trPr>
          <w:trHeight w:val="262"/>
          <w:tblHeader/>
        </w:trPr>
        <w:tc>
          <w:tcPr>
            <w:tcW w:w="6799" w:type="dxa"/>
          </w:tcPr>
          <w:p w14:paraId="18190C76" w14:textId="5A85000C" w:rsidR="003E3602" w:rsidRPr="008F428F" w:rsidRDefault="003E3602" w:rsidP="003E3602">
            <w:pPr>
              <w:jc w:val="center"/>
              <w:rPr>
                <w:rFonts w:ascii="Arial" w:hAnsi="Arial" w:cs="Arial"/>
                <w:b/>
                <w:sz w:val="24"/>
                <w:szCs w:val="24"/>
              </w:rPr>
            </w:pPr>
            <w:r w:rsidRPr="008F428F">
              <w:rPr>
                <w:rFonts w:ascii="Arial" w:hAnsi="Arial" w:cs="Arial"/>
                <w:b/>
                <w:sz w:val="24"/>
                <w:szCs w:val="24"/>
              </w:rPr>
              <w:t>DEPARTMENT CIRCULAR NO. DC202</w:t>
            </w:r>
            <w:r w:rsidR="00347C81" w:rsidRPr="008F428F">
              <w:rPr>
                <w:rFonts w:ascii="Arial" w:hAnsi="Arial" w:cs="Arial"/>
                <w:b/>
                <w:sz w:val="24"/>
                <w:szCs w:val="24"/>
              </w:rPr>
              <w:t>4</w:t>
            </w:r>
            <w:r w:rsidRPr="008F428F">
              <w:rPr>
                <w:rFonts w:ascii="Arial" w:hAnsi="Arial" w:cs="Arial"/>
                <w:b/>
                <w:sz w:val="24"/>
                <w:szCs w:val="24"/>
              </w:rPr>
              <w:t>-__________</w:t>
            </w:r>
          </w:p>
          <w:p w14:paraId="13FFDBB8" w14:textId="77777777" w:rsidR="003E3602" w:rsidRPr="008F428F" w:rsidRDefault="003E3602" w:rsidP="003E3602">
            <w:pPr>
              <w:jc w:val="center"/>
              <w:rPr>
                <w:rFonts w:ascii="Arial" w:hAnsi="Arial" w:cs="Arial"/>
                <w:b/>
                <w:sz w:val="24"/>
                <w:szCs w:val="24"/>
              </w:rPr>
            </w:pPr>
          </w:p>
          <w:p w14:paraId="70A21D1B" w14:textId="095BE7EA" w:rsidR="003E3602" w:rsidRPr="008F428F" w:rsidRDefault="00347C81" w:rsidP="003E3602">
            <w:pPr>
              <w:jc w:val="center"/>
              <w:rPr>
                <w:rFonts w:ascii="Arial" w:hAnsi="Arial" w:cs="Arial"/>
                <w:b/>
                <w:sz w:val="24"/>
                <w:szCs w:val="24"/>
              </w:rPr>
            </w:pPr>
            <w:r w:rsidRPr="008F428F">
              <w:rPr>
                <w:rFonts w:ascii="Arial" w:hAnsi="Arial" w:cs="Arial"/>
                <w:b/>
                <w:bCs/>
                <w:sz w:val="27"/>
                <w:szCs w:val="27"/>
              </w:rPr>
              <w:t>AMENDMENT TO DEPARTMENT CIRCULAR NO. DC2023-10-0029 TITLED, PROVIDING SPECIFIC AUCTION POLICY AND GUIDELINES FOR NON-FIT-ELIGIBLE RENEWABLE ENERGY TECHNOLOGIES IN THE GREEN ENERGY AUCTION PROGRAM</w:t>
            </w:r>
          </w:p>
          <w:p w14:paraId="36FDE530" w14:textId="77777777" w:rsidR="003E3602" w:rsidRPr="008F428F" w:rsidRDefault="003E3602" w:rsidP="003E3602">
            <w:pPr>
              <w:rPr>
                <w:rFonts w:ascii="Arial" w:hAnsi="Arial" w:cs="Arial"/>
                <w:sz w:val="24"/>
                <w:szCs w:val="24"/>
              </w:rPr>
            </w:pPr>
          </w:p>
          <w:p w14:paraId="2EA7B8D4" w14:textId="522381B4" w:rsidR="009D41CC" w:rsidRPr="008F428F" w:rsidRDefault="009D41CC" w:rsidP="008E3468">
            <w:pPr>
              <w:jc w:val="both"/>
              <w:rPr>
                <w:rFonts w:ascii="Arial" w:hAnsi="Arial" w:cs="Arial"/>
                <w:sz w:val="24"/>
                <w:szCs w:val="24"/>
              </w:rPr>
            </w:pPr>
          </w:p>
        </w:tc>
        <w:tc>
          <w:tcPr>
            <w:tcW w:w="4255" w:type="dxa"/>
          </w:tcPr>
          <w:p w14:paraId="736A791A" w14:textId="77777777" w:rsidR="009D41CC" w:rsidRPr="008F428F" w:rsidRDefault="009D41CC" w:rsidP="00040EFE">
            <w:pPr>
              <w:jc w:val="center"/>
              <w:rPr>
                <w:rFonts w:ascii="Arial" w:hAnsi="Arial" w:cs="Arial"/>
                <w:b/>
                <w:bCs/>
                <w:sz w:val="28"/>
                <w:szCs w:val="28"/>
              </w:rPr>
            </w:pPr>
          </w:p>
        </w:tc>
        <w:tc>
          <w:tcPr>
            <w:tcW w:w="3683" w:type="dxa"/>
          </w:tcPr>
          <w:p w14:paraId="56B4BD59" w14:textId="77777777" w:rsidR="009D41CC" w:rsidRPr="008F428F" w:rsidRDefault="009D41CC" w:rsidP="00040EFE">
            <w:pPr>
              <w:jc w:val="center"/>
              <w:rPr>
                <w:rFonts w:ascii="Arial" w:hAnsi="Arial" w:cs="Arial"/>
                <w:b/>
                <w:bCs/>
                <w:sz w:val="28"/>
                <w:szCs w:val="28"/>
              </w:rPr>
            </w:pPr>
          </w:p>
        </w:tc>
      </w:tr>
      <w:tr w:rsidR="009E602F" w:rsidRPr="003557F9" w14:paraId="0E5A33FF" w14:textId="77777777" w:rsidTr="7DB4BAA9">
        <w:trPr>
          <w:trHeight w:val="262"/>
          <w:tblHeader/>
        </w:trPr>
        <w:tc>
          <w:tcPr>
            <w:tcW w:w="6799" w:type="dxa"/>
          </w:tcPr>
          <w:p w14:paraId="2145D399" w14:textId="77777777" w:rsidR="00752654" w:rsidRPr="00C919A3" w:rsidRDefault="00752654" w:rsidP="00752654">
            <w:pPr>
              <w:jc w:val="both"/>
              <w:rPr>
                <w:rFonts w:ascii="Arial" w:hAnsi="Arial" w:cs="Arial"/>
                <w:sz w:val="24"/>
                <w:szCs w:val="24"/>
              </w:rPr>
            </w:pPr>
            <w:proofErr w:type="gramStart"/>
            <w:r w:rsidRPr="00C919A3">
              <w:rPr>
                <w:rFonts w:ascii="Arial" w:hAnsi="Arial" w:cs="Arial"/>
                <w:b/>
                <w:bCs/>
                <w:sz w:val="24"/>
                <w:szCs w:val="24"/>
              </w:rPr>
              <w:t>WHEREAS,</w:t>
            </w:r>
            <w:proofErr w:type="gramEnd"/>
            <w:r w:rsidRPr="00C919A3">
              <w:rPr>
                <w:rFonts w:ascii="Arial" w:hAnsi="Arial" w:cs="Arial"/>
                <w:sz w:val="24"/>
                <w:szCs w:val="24"/>
              </w:rPr>
              <w:t xml:space="preserve"> the Department of Energy (DOE) issued the revised Guidelines for the Green Energy Auction Program (GEAP) through Department Circular (DC) No. DC2021-11-0036, otherwise known as the “GEAP Guidelines,” on 03 November 2021;</w:t>
            </w:r>
          </w:p>
          <w:p w14:paraId="4D491FC9" w14:textId="70BD7ABD" w:rsidR="009E602F" w:rsidRPr="00C919A3" w:rsidRDefault="009E602F" w:rsidP="7DB4BAA9">
            <w:pPr>
              <w:jc w:val="both"/>
              <w:rPr>
                <w:rFonts w:ascii="Arial" w:hAnsi="Arial" w:cs="Arial"/>
                <w:color w:val="FF0000"/>
                <w:sz w:val="24"/>
                <w:szCs w:val="24"/>
              </w:rPr>
            </w:pPr>
          </w:p>
        </w:tc>
        <w:tc>
          <w:tcPr>
            <w:tcW w:w="4255" w:type="dxa"/>
          </w:tcPr>
          <w:p w14:paraId="09552FF3" w14:textId="77777777" w:rsidR="009E602F" w:rsidRPr="003557F9" w:rsidRDefault="009E602F" w:rsidP="00040EFE">
            <w:pPr>
              <w:jc w:val="center"/>
              <w:rPr>
                <w:rFonts w:ascii="Arial" w:hAnsi="Arial" w:cs="Arial"/>
                <w:b/>
                <w:bCs/>
                <w:sz w:val="24"/>
                <w:szCs w:val="24"/>
              </w:rPr>
            </w:pPr>
          </w:p>
        </w:tc>
        <w:tc>
          <w:tcPr>
            <w:tcW w:w="3683" w:type="dxa"/>
          </w:tcPr>
          <w:p w14:paraId="241D2D29" w14:textId="77777777" w:rsidR="009E602F" w:rsidRPr="003557F9" w:rsidRDefault="009E602F" w:rsidP="00040EFE">
            <w:pPr>
              <w:jc w:val="center"/>
              <w:rPr>
                <w:rFonts w:ascii="Arial" w:hAnsi="Arial" w:cs="Arial"/>
                <w:b/>
                <w:bCs/>
                <w:sz w:val="24"/>
                <w:szCs w:val="24"/>
              </w:rPr>
            </w:pPr>
          </w:p>
        </w:tc>
      </w:tr>
      <w:tr w:rsidR="00E85B0B" w:rsidRPr="003557F9" w14:paraId="62888F61" w14:textId="77777777" w:rsidTr="7DB4BAA9">
        <w:trPr>
          <w:trHeight w:val="262"/>
          <w:tblHeader/>
        </w:trPr>
        <w:tc>
          <w:tcPr>
            <w:tcW w:w="6799" w:type="dxa"/>
          </w:tcPr>
          <w:p w14:paraId="1077A5A3" w14:textId="77777777" w:rsidR="00C7019D" w:rsidRPr="00C919A3" w:rsidRDefault="00C7019D" w:rsidP="00C7019D">
            <w:pPr>
              <w:jc w:val="both"/>
              <w:rPr>
                <w:rFonts w:ascii="Arial" w:hAnsi="Arial" w:cs="Arial"/>
                <w:sz w:val="24"/>
                <w:szCs w:val="24"/>
              </w:rPr>
            </w:pPr>
            <w:r w:rsidRPr="00C919A3">
              <w:rPr>
                <w:rFonts w:ascii="Arial" w:hAnsi="Arial" w:cs="Arial"/>
                <w:b/>
                <w:bCs/>
                <w:sz w:val="24"/>
                <w:szCs w:val="24"/>
              </w:rPr>
              <w:t>WHEREAS,</w:t>
            </w:r>
            <w:r w:rsidRPr="00C919A3">
              <w:rPr>
                <w:rFonts w:ascii="Arial" w:hAnsi="Arial" w:cs="Arial"/>
                <w:sz w:val="24"/>
                <w:szCs w:val="24"/>
              </w:rPr>
              <w:t xml:space="preserve"> through the GEAP, the DOE instituted a competitive process in the selection of eligible renewable energy (RE) facilities entitled to the Feed-In Tariff Allowance (FIT-All) </w:t>
            </w:r>
            <w:proofErr w:type="gramStart"/>
            <w:r w:rsidRPr="00C919A3">
              <w:rPr>
                <w:rFonts w:ascii="Arial" w:hAnsi="Arial" w:cs="Arial"/>
                <w:sz w:val="24"/>
                <w:szCs w:val="24"/>
              </w:rPr>
              <w:t>Fund;</w:t>
            </w:r>
            <w:proofErr w:type="gramEnd"/>
          </w:p>
          <w:p w14:paraId="5ABD15DF" w14:textId="6CA8727B" w:rsidR="00E85B0B" w:rsidRPr="00C919A3" w:rsidRDefault="00E85B0B" w:rsidP="7DB4BAA9">
            <w:pPr>
              <w:jc w:val="both"/>
              <w:rPr>
                <w:rFonts w:ascii="Arial" w:hAnsi="Arial" w:cs="Arial"/>
                <w:color w:val="FF0000"/>
                <w:sz w:val="24"/>
                <w:szCs w:val="24"/>
              </w:rPr>
            </w:pPr>
          </w:p>
        </w:tc>
        <w:tc>
          <w:tcPr>
            <w:tcW w:w="4255" w:type="dxa"/>
          </w:tcPr>
          <w:p w14:paraId="22FD0267" w14:textId="77777777" w:rsidR="00E85B0B" w:rsidRPr="003557F9" w:rsidRDefault="00E85B0B" w:rsidP="00040EFE">
            <w:pPr>
              <w:jc w:val="center"/>
              <w:rPr>
                <w:rFonts w:ascii="Arial" w:hAnsi="Arial" w:cs="Arial"/>
                <w:b/>
                <w:bCs/>
                <w:sz w:val="24"/>
                <w:szCs w:val="24"/>
              </w:rPr>
            </w:pPr>
          </w:p>
        </w:tc>
        <w:tc>
          <w:tcPr>
            <w:tcW w:w="3683" w:type="dxa"/>
          </w:tcPr>
          <w:p w14:paraId="5F51DC98" w14:textId="77777777" w:rsidR="00E85B0B" w:rsidRPr="003557F9" w:rsidRDefault="00E85B0B" w:rsidP="00040EFE">
            <w:pPr>
              <w:jc w:val="center"/>
              <w:rPr>
                <w:rFonts w:ascii="Arial" w:hAnsi="Arial" w:cs="Arial"/>
                <w:b/>
                <w:bCs/>
                <w:sz w:val="24"/>
                <w:szCs w:val="24"/>
              </w:rPr>
            </w:pPr>
          </w:p>
        </w:tc>
      </w:tr>
      <w:tr w:rsidR="00E85B0B" w:rsidRPr="003557F9" w14:paraId="267B3404" w14:textId="77777777" w:rsidTr="7DB4BAA9">
        <w:trPr>
          <w:trHeight w:val="262"/>
          <w:tblHeader/>
        </w:trPr>
        <w:tc>
          <w:tcPr>
            <w:tcW w:w="6799" w:type="dxa"/>
          </w:tcPr>
          <w:p w14:paraId="76C0EB01" w14:textId="77777777" w:rsidR="0088176E" w:rsidRPr="00C919A3" w:rsidRDefault="0088176E" w:rsidP="0088176E">
            <w:pPr>
              <w:jc w:val="both"/>
              <w:rPr>
                <w:rFonts w:ascii="Arial" w:hAnsi="Arial" w:cs="Arial"/>
                <w:bCs/>
                <w:color w:val="000000" w:themeColor="text1"/>
                <w:sz w:val="24"/>
                <w:szCs w:val="24"/>
              </w:rPr>
            </w:pPr>
            <w:r w:rsidRPr="00C919A3">
              <w:rPr>
                <w:rFonts w:ascii="Arial" w:hAnsi="Arial" w:cs="Arial"/>
                <w:b/>
                <w:bCs/>
                <w:sz w:val="24"/>
                <w:szCs w:val="24"/>
              </w:rPr>
              <w:t xml:space="preserve">WHEREAS, </w:t>
            </w:r>
            <w:r w:rsidRPr="00C919A3">
              <w:rPr>
                <w:rFonts w:ascii="Arial" w:hAnsi="Arial" w:cs="Arial"/>
                <w:sz w:val="24"/>
                <w:szCs w:val="24"/>
              </w:rPr>
              <w:t xml:space="preserve">under Section 5.1 of DC2023-10-0029 captioned, “Providing Specific Auction Policy and Guidelines for Non-FIT-Eligible Renewable Energy Technologies in the Green Energy Auction Program” (Non-FIT-Eligible RE Technologies in the GEAP), </w:t>
            </w:r>
            <w:r w:rsidRPr="00C919A3">
              <w:rPr>
                <w:rFonts w:ascii="Arial" w:hAnsi="Arial" w:cs="Arial"/>
                <w:bCs/>
                <w:color w:val="000000" w:themeColor="text1"/>
                <w:sz w:val="24"/>
                <w:szCs w:val="24"/>
              </w:rPr>
              <w:t xml:space="preserve">the Energy Regulatory Commission (ERC) shall issue the approved parameters and criteria per type of Non-FIT-Eligible RE Facility to be used in evaluating Price Offers submitted by </w:t>
            </w:r>
            <w:proofErr w:type="gramStart"/>
            <w:r w:rsidRPr="00C919A3">
              <w:rPr>
                <w:rFonts w:ascii="Arial" w:hAnsi="Arial" w:cs="Arial"/>
                <w:bCs/>
                <w:color w:val="000000" w:themeColor="text1"/>
                <w:sz w:val="24"/>
                <w:szCs w:val="24"/>
              </w:rPr>
              <w:t>Bidders;</w:t>
            </w:r>
            <w:proofErr w:type="gramEnd"/>
            <w:r w:rsidRPr="00C919A3">
              <w:rPr>
                <w:rFonts w:ascii="Arial" w:hAnsi="Arial" w:cs="Arial"/>
                <w:bCs/>
                <w:color w:val="000000" w:themeColor="text1"/>
                <w:sz w:val="24"/>
                <w:szCs w:val="24"/>
              </w:rPr>
              <w:t xml:space="preserve"> </w:t>
            </w:r>
          </w:p>
          <w:p w14:paraId="120C8D29" w14:textId="02DA397B" w:rsidR="00FD111F" w:rsidRPr="00C919A3" w:rsidRDefault="00FD111F" w:rsidP="7DB4BAA9">
            <w:pPr>
              <w:jc w:val="both"/>
              <w:rPr>
                <w:rFonts w:ascii="Arial" w:hAnsi="Arial" w:cs="Arial"/>
                <w:color w:val="FF0000"/>
                <w:sz w:val="24"/>
                <w:szCs w:val="24"/>
              </w:rPr>
            </w:pPr>
          </w:p>
        </w:tc>
        <w:tc>
          <w:tcPr>
            <w:tcW w:w="4255" w:type="dxa"/>
          </w:tcPr>
          <w:p w14:paraId="06901A97" w14:textId="77777777" w:rsidR="00E85B0B" w:rsidRPr="003557F9" w:rsidRDefault="00E85B0B" w:rsidP="00040EFE">
            <w:pPr>
              <w:jc w:val="center"/>
              <w:rPr>
                <w:rFonts w:ascii="Arial" w:hAnsi="Arial" w:cs="Arial"/>
                <w:b/>
                <w:bCs/>
                <w:sz w:val="24"/>
                <w:szCs w:val="24"/>
              </w:rPr>
            </w:pPr>
          </w:p>
        </w:tc>
        <w:tc>
          <w:tcPr>
            <w:tcW w:w="3683" w:type="dxa"/>
          </w:tcPr>
          <w:p w14:paraId="6158CB46" w14:textId="77777777" w:rsidR="00E85B0B" w:rsidRPr="003557F9" w:rsidRDefault="00E85B0B" w:rsidP="00040EFE">
            <w:pPr>
              <w:jc w:val="center"/>
              <w:rPr>
                <w:rFonts w:ascii="Arial" w:hAnsi="Arial" w:cs="Arial"/>
                <w:b/>
                <w:bCs/>
                <w:sz w:val="24"/>
                <w:szCs w:val="24"/>
              </w:rPr>
            </w:pPr>
          </w:p>
        </w:tc>
      </w:tr>
      <w:tr w:rsidR="007633D2" w:rsidRPr="003557F9" w14:paraId="4606479A" w14:textId="77777777" w:rsidTr="7DB4BAA9">
        <w:trPr>
          <w:trHeight w:val="1811"/>
          <w:tblHeader/>
        </w:trPr>
        <w:tc>
          <w:tcPr>
            <w:tcW w:w="6799" w:type="dxa"/>
          </w:tcPr>
          <w:p w14:paraId="15D62E4D" w14:textId="77777777" w:rsidR="00F549C2" w:rsidRPr="00C919A3" w:rsidRDefault="00F549C2" w:rsidP="00F549C2">
            <w:pPr>
              <w:jc w:val="both"/>
              <w:rPr>
                <w:rFonts w:ascii="Arial" w:hAnsi="Arial" w:cs="Arial"/>
                <w:bCs/>
                <w:sz w:val="24"/>
                <w:szCs w:val="24"/>
              </w:rPr>
            </w:pPr>
            <w:proofErr w:type="gramStart"/>
            <w:r w:rsidRPr="00C919A3">
              <w:rPr>
                <w:rFonts w:ascii="Arial" w:hAnsi="Arial" w:cs="Arial"/>
                <w:b/>
                <w:bCs/>
                <w:sz w:val="24"/>
                <w:szCs w:val="24"/>
              </w:rPr>
              <w:lastRenderedPageBreak/>
              <w:t>WHEREAS,</w:t>
            </w:r>
            <w:proofErr w:type="gramEnd"/>
            <w:r w:rsidRPr="00C919A3">
              <w:rPr>
                <w:rFonts w:ascii="Arial" w:hAnsi="Arial" w:cs="Arial"/>
                <w:b/>
                <w:bCs/>
                <w:sz w:val="24"/>
                <w:szCs w:val="24"/>
              </w:rPr>
              <w:t xml:space="preserve"> </w:t>
            </w:r>
            <w:r w:rsidRPr="00C919A3">
              <w:rPr>
                <w:rFonts w:ascii="Arial" w:hAnsi="Arial" w:cs="Arial"/>
                <w:sz w:val="24"/>
                <w:szCs w:val="24"/>
              </w:rPr>
              <w:t>Section 6 of the above DC provides that the</w:t>
            </w:r>
            <w:r w:rsidRPr="00C919A3">
              <w:rPr>
                <w:rFonts w:ascii="Arial" w:hAnsi="Arial" w:cs="Arial"/>
                <w:bCs/>
                <w:sz w:val="24"/>
                <w:szCs w:val="24"/>
              </w:rPr>
              <w:t xml:space="preserve"> Winning Bidders for each Auction Round of the </w:t>
            </w:r>
            <w:r w:rsidRPr="00C919A3">
              <w:rPr>
                <w:rFonts w:ascii="Arial" w:hAnsi="Arial" w:cs="Arial"/>
                <w:sz w:val="24"/>
                <w:szCs w:val="24"/>
              </w:rPr>
              <w:t>Green Energy Auction (GEA)</w:t>
            </w:r>
            <w:r w:rsidRPr="00C919A3">
              <w:rPr>
                <w:rFonts w:ascii="Arial" w:hAnsi="Arial" w:cs="Arial"/>
                <w:bCs/>
                <w:sz w:val="24"/>
                <w:szCs w:val="24"/>
              </w:rPr>
              <w:t xml:space="preserve"> for Non-FIT-Eligible RE technology shall be those whose Price Offers were endorsed by the DOE to, and approved by, the ERC after evaluation based on the approved set of parameters and criteria;</w:t>
            </w:r>
          </w:p>
          <w:p w14:paraId="0473989A" w14:textId="3E37A8F0" w:rsidR="007633D2" w:rsidRPr="00C919A3" w:rsidRDefault="007633D2" w:rsidP="7DB4BAA9">
            <w:pPr>
              <w:jc w:val="both"/>
              <w:rPr>
                <w:rFonts w:ascii="Arial" w:hAnsi="Arial" w:cs="Arial"/>
                <w:color w:val="FF0000"/>
                <w:sz w:val="24"/>
                <w:szCs w:val="24"/>
              </w:rPr>
            </w:pPr>
          </w:p>
        </w:tc>
        <w:tc>
          <w:tcPr>
            <w:tcW w:w="4255" w:type="dxa"/>
          </w:tcPr>
          <w:p w14:paraId="61B2052F" w14:textId="77777777" w:rsidR="007633D2" w:rsidRPr="003557F9" w:rsidRDefault="007633D2" w:rsidP="00040EFE">
            <w:pPr>
              <w:jc w:val="center"/>
              <w:rPr>
                <w:rFonts w:ascii="Arial" w:hAnsi="Arial" w:cs="Arial"/>
                <w:b/>
                <w:bCs/>
                <w:sz w:val="24"/>
                <w:szCs w:val="24"/>
              </w:rPr>
            </w:pPr>
          </w:p>
        </w:tc>
        <w:tc>
          <w:tcPr>
            <w:tcW w:w="3683" w:type="dxa"/>
          </w:tcPr>
          <w:p w14:paraId="057DCBF6" w14:textId="77777777" w:rsidR="007633D2" w:rsidRPr="003557F9" w:rsidRDefault="007633D2" w:rsidP="00040EFE">
            <w:pPr>
              <w:jc w:val="center"/>
              <w:rPr>
                <w:rFonts w:ascii="Arial" w:hAnsi="Arial" w:cs="Arial"/>
                <w:b/>
                <w:bCs/>
                <w:sz w:val="24"/>
                <w:szCs w:val="24"/>
              </w:rPr>
            </w:pPr>
          </w:p>
        </w:tc>
      </w:tr>
      <w:tr w:rsidR="003E3602" w:rsidRPr="003557F9" w14:paraId="0C67F749" w14:textId="77777777" w:rsidTr="008F428F">
        <w:trPr>
          <w:trHeight w:val="1129"/>
          <w:tblHeader/>
        </w:trPr>
        <w:tc>
          <w:tcPr>
            <w:tcW w:w="6799" w:type="dxa"/>
          </w:tcPr>
          <w:p w14:paraId="3BD445AA" w14:textId="77777777" w:rsidR="00FD2CC0" w:rsidRPr="00C919A3" w:rsidRDefault="00FD2CC0" w:rsidP="00FD2CC0">
            <w:pPr>
              <w:jc w:val="both"/>
              <w:rPr>
                <w:rFonts w:ascii="Arial" w:hAnsi="Arial" w:cs="Arial"/>
                <w:sz w:val="24"/>
                <w:szCs w:val="24"/>
              </w:rPr>
            </w:pPr>
            <w:proofErr w:type="gramStart"/>
            <w:r w:rsidRPr="00C919A3">
              <w:rPr>
                <w:rFonts w:ascii="Arial" w:hAnsi="Arial" w:cs="Arial"/>
                <w:b/>
                <w:bCs/>
                <w:sz w:val="24"/>
                <w:szCs w:val="24"/>
              </w:rPr>
              <w:t>WHEREAS,</w:t>
            </w:r>
            <w:proofErr w:type="gramEnd"/>
            <w:r w:rsidRPr="00C919A3">
              <w:rPr>
                <w:rFonts w:ascii="Arial" w:hAnsi="Arial" w:cs="Arial"/>
                <w:b/>
                <w:bCs/>
                <w:sz w:val="24"/>
                <w:szCs w:val="24"/>
              </w:rPr>
              <w:t xml:space="preserve"> </w:t>
            </w:r>
            <w:r w:rsidRPr="00C919A3">
              <w:rPr>
                <w:rFonts w:ascii="Arial" w:hAnsi="Arial" w:cs="Arial"/>
                <w:sz w:val="24"/>
                <w:szCs w:val="24"/>
              </w:rPr>
              <w:t xml:space="preserve">there is a need to clarify that, from the set of parameters and criteria, the ERC shall promulgate rules on GEA </w:t>
            </w:r>
            <w:r w:rsidRPr="00C919A3">
              <w:rPr>
                <w:rFonts w:ascii="Arial" w:hAnsi="Arial" w:cs="Arial"/>
                <w:bCs/>
                <w:sz w:val="24"/>
                <w:szCs w:val="24"/>
              </w:rPr>
              <w:t xml:space="preserve">for Non-FIT-Eligible RE technology </w:t>
            </w:r>
            <w:r w:rsidRPr="00C919A3">
              <w:rPr>
                <w:rFonts w:ascii="Arial" w:hAnsi="Arial" w:cs="Arial"/>
                <w:sz w:val="24"/>
                <w:szCs w:val="24"/>
              </w:rPr>
              <w:t>auction pricing methodology;</w:t>
            </w:r>
          </w:p>
          <w:p w14:paraId="6F19638E" w14:textId="35A8D00A" w:rsidR="00CE4CAD" w:rsidRPr="00C919A3" w:rsidRDefault="00CE4CAD" w:rsidP="7DB4BAA9">
            <w:pPr>
              <w:jc w:val="both"/>
              <w:rPr>
                <w:rFonts w:ascii="Arial" w:hAnsi="Arial" w:cs="Arial"/>
                <w:sz w:val="24"/>
                <w:szCs w:val="24"/>
              </w:rPr>
            </w:pPr>
          </w:p>
        </w:tc>
        <w:tc>
          <w:tcPr>
            <w:tcW w:w="4255" w:type="dxa"/>
          </w:tcPr>
          <w:p w14:paraId="3C0D3C17" w14:textId="77777777" w:rsidR="003E3602" w:rsidRPr="003557F9" w:rsidRDefault="003E3602" w:rsidP="00040EFE">
            <w:pPr>
              <w:jc w:val="center"/>
              <w:rPr>
                <w:rFonts w:ascii="Arial" w:hAnsi="Arial" w:cs="Arial"/>
                <w:b/>
                <w:bCs/>
                <w:sz w:val="24"/>
                <w:szCs w:val="24"/>
              </w:rPr>
            </w:pPr>
          </w:p>
        </w:tc>
        <w:tc>
          <w:tcPr>
            <w:tcW w:w="3683" w:type="dxa"/>
          </w:tcPr>
          <w:p w14:paraId="62C721C9" w14:textId="77777777" w:rsidR="003E3602" w:rsidRPr="003557F9" w:rsidRDefault="003E3602" w:rsidP="00040EFE">
            <w:pPr>
              <w:jc w:val="center"/>
              <w:rPr>
                <w:rFonts w:ascii="Arial" w:hAnsi="Arial" w:cs="Arial"/>
                <w:b/>
                <w:bCs/>
                <w:sz w:val="24"/>
                <w:szCs w:val="24"/>
              </w:rPr>
            </w:pPr>
          </w:p>
        </w:tc>
      </w:tr>
      <w:tr w:rsidR="003E3602" w:rsidRPr="003557F9" w14:paraId="5A92C0A1" w14:textId="77777777" w:rsidTr="008F428F">
        <w:trPr>
          <w:trHeight w:val="1116"/>
          <w:tblHeader/>
        </w:trPr>
        <w:tc>
          <w:tcPr>
            <w:tcW w:w="6799" w:type="dxa"/>
          </w:tcPr>
          <w:p w14:paraId="32DA7DFB" w14:textId="77777777" w:rsidR="00846957" w:rsidRPr="00C919A3" w:rsidRDefault="00846957" w:rsidP="00846957">
            <w:pPr>
              <w:jc w:val="both"/>
              <w:rPr>
                <w:rFonts w:ascii="Arial" w:hAnsi="Arial" w:cs="Arial"/>
                <w:sz w:val="24"/>
                <w:szCs w:val="24"/>
              </w:rPr>
            </w:pPr>
            <w:r w:rsidRPr="00C919A3">
              <w:rPr>
                <w:rFonts w:ascii="Arial" w:hAnsi="Arial" w:cs="Arial"/>
                <w:b/>
                <w:bCs/>
                <w:sz w:val="24"/>
                <w:szCs w:val="24"/>
              </w:rPr>
              <w:t xml:space="preserve">NOW, THEREFORE, </w:t>
            </w:r>
            <w:r w:rsidRPr="00C919A3">
              <w:rPr>
                <w:rFonts w:ascii="Arial" w:hAnsi="Arial" w:cs="Arial"/>
                <w:sz w:val="24"/>
                <w:szCs w:val="24"/>
              </w:rPr>
              <w:t xml:space="preserve">pursuant to its authority under Republic Act No. 9513, or the Renewable Energy Act of 2008, the DOE hereby adopts, </w:t>
            </w:r>
            <w:proofErr w:type="gramStart"/>
            <w:r w:rsidRPr="00C919A3">
              <w:rPr>
                <w:rFonts w:ascii="Arial" w:hAnsi="Arial" w:cs="Arial"/>
                <w:sz w:val="24"/>
                <w:szCs w:val="24"/>
              </w:rPr>
              <w:t>issues</w:t>
            </w:r>
            <w:proofErr w:type="gramEnd"/>
            <w:r w:rsidRPr="00C919A3">
              <w:rPr>
                <w:rFonts w:ascii="Arial" w:hAnsi="Arial" w:cs="Arial"/>
                <w:sz w:val="24"/>
                <w:szCs w:val="24"/>
              </w:rPr>
              <w:t xml:space="preserve"> and promulgates the following amendment to the Non-FIT-Eligible RE Technologies in the GEAP.</w:t>
            </w:r>
          </w:p>
          <w:p w14:paraId="373AAE16" w14:textId="5DC5D1DA" w:rsidR="00CE4CAD" w:rsidRPr="00C919A3" w:rsidRDefault="00CE4CAD" w:rsidP="7DB4BAA9">
            <w:pPr>
              <w:jc w:val="both"/>
              <w:rPr>
                <w:rFonts w:ascii="Arial" w:hAnsi="Arial" w:cs="Arial"/>
                <w:sz w:val="24"/>
                <w:szCs w:val="24"/>
              </w:rPr>
            </w:pPr>
          </w:p>
        </w:tc>
        <w:tc>
          <w:tcPr>
            <w:tcW w:w="4255" w:type="dxa"/>
          </w:tcPr>
          <w:p w14:paraId="613542CE" w14:textId="77777777" w:rsidR="003E3602" w:rsidRPr="003557F9" w:rsidRDefault="003E3602" w:rsidP="00040EFE">
            <w:pPr>
              <w:jc w:val="center"/>
              <w:rPr>
                <w:rFonts w:ascii="Arial" w:hAnsi="Arial" w:cs="Arial"/>
                <w:b/>
                <w:bCs/>
                <w:sz w:val="24"/>
                <w:szCs w:val="24"/>
              </w:rPr>
            </w:pPr>
          </w:p>
        </w:tc>
        <w:tc>
          <w:tcPr>
            <w:tcW w:w="3683" w:type="dxa"/>
          </w:tcPr>
          <w:p w14:paraId="5350B73F" w14:textId="77777777" w:rsidR="003E3602" w:rsidRPr="003557F9" w:rsidRDefault="003E3602" w:rsidP="00040EFE">
            <w:pPr>
              <w:jc w:val="center"/>
              <w:rPr>
                <w:rFonts w:ascii="Arial" w:hAnsi="Arial" w:cs="Arial"/>
                <w:b/>
                <w:bCs/>
                <w:sz w:val="24"/>
                <w:szCs w:val="24"/>
              </w:rPr>
            </w:pPr>
          </w:p>
        </w:tc>
      </w:tr>
      <w:tr w:rsidR="003E3602" w:rsidRPr="003557F9" w14:paraId="39CC7D9F" w14:textId="77777777" w:rsidTr="7DB4BAA9">
        <w:trPr>
          <w:trHeight w:val="2117"/>
          <w:tblHeader/>
        </w:trPr>
        <w:tc>
          <w:tcPr>
            <w:tcW w:w="6799" w:type="dxa"/>
          </w:tcPr>
          <w:p w14:paraId="223E0816" w14:textId="77777777" w:rsidR="000705C4" w:rsidRPr="00C919A3" w:rsidRDefault="000705C4" w:rsidP="000705C4">
            <w:pPr>
              <w:jc w:val="both"/>
              <w:rPr>
                <w:rFonts w:ascii="Arial" w:hAnsi="Arial" w:cs="Arial"/>
                <w:sz w:val="24"/>
                <w:szCs w:val="24"/>
              </w:rPr>
            </w:pPr>
            <w:r w:rsidRPr="00C919A3">
              <w:rPr>
                <w:rFonts w:ascii="Arial" w:hAnsi="Arial" w:cs="Arial"/>
                <w:b/>
                <w:bCs/>
                <w:sz w:val="24"/>
                <w:szCs w:val="24"/>
              </w:rPr>
              <w:t xml:space="preserve">Section 1. </w:t>
            </w:r>
            <w:r w:rsidRPr="00C919A3">
              <w:rPr>
                <w:rFonts w:ascii="Arial" w:hAnsi="Arial" w:cs="Arial"/>
                <w:sz w:val="24"/>
                <w:szCs w:val="24"/>
              </w:rPr>
              <w:t>Section 5.1, 2</w:t>
            </w:r>
            <w:r w:rsidRPr="00C919A3">
              <w:rPr>
                <w:rFonts w:ascii="Arial" w:hAnsi="Arial" w:cs="Arial"/>
                <w:sz w:val="24"/>
                <w:szCs w:val="24"/>
                <w:vertAlign w:val="superscript"/>
              </w:rPr>
              <w:t>nd</w:t>
            </w:r>
            <w:r w:rsidRPr="00C919A3">
              <w:rPr>
                <w:rFonts w:ascii="Arial" w:hAnsi="Arial" w:cs="Arial"/>
                <w:sz w:val="24"/>
                <w:szCs w:val="24"/>
              </w:rPr>
              <w:t xml:space="preserve"> paragraph of the Non-FIT-Eligible RE Technologies in the GEAP is hereby amended to read as follows:</w:t>
            </w:r>
          </w:p>
          <w:p w14:paraId="5148CB0F" w14:textId="77777777" w:rsidR="00E6735A" w:rsidRPr="00C919A3" w:rsidRDefault="00E6735A" w:rsidP="00E6735A">
            <w:pPr>
              <w:jc w:val="both"/>
              <w:rPr>
                <w:rFonts w:ascii="Arial" w:hAnsi="Arial" w:cs="Arial"/>
                <w:sz w:val="24"/>
                <w:szCs w:val="24"/>
              </w:rPr>
            </w:pPr>
          </w:p>
          <w:p w14:paraId="70A2EE9D" w14:textId="77777777" w:rsidR="00E6735A" w:rsidRPr="00C919A3" w:rsidRDefault="00E6735A" w:rsidP="00E6735A">
            <w:pPr>
              <w:ind w:right="571" w:firstLine="709"/>
              <w:jc w:val="both"/>
              <w:rPr>
                <w:rFonts w:ascii="Arial" w:hAnsi="Arial" w:cs="Arial"/>
                <w:bCs/>
                <w:color w:val="000000" w:themeColor="text1"/>
                <w:sz w:val="24"/>
                <w:szCs w:val="24"/>
              </w:rPr>
            </w:pPr>
            <w:r w:rsidRPr="00C919A3">
              <w:rPr>
                <w:rFonts w:ascii="Arial" w:hAnsi="Arial" w:cs="Arial"/>
                <w:sz w:val="24"/>
                <w:szCs w:val="24"/>
              </w:rPr>
              <w:t>“5.1</w:t>
            </w:r>
            <w:r w:rsidRPr="00C919A3">
              <w:rPr>
                <w:rFonts w:ascii="Arial" w:hAnsi="Arial" w:cs="Arial"/>
                <w:bCs/>
                <w:color w:val="000000" w:themeColor="text1"/>
                <w:sz w:val="24"/>
                <w:szCs w:val="24"/>
              </w:rPr>
              <w:t xml:space="preserve"> </w:t>
            </w:r>
            <w:r w:rsidRPr="00C919A3">
              <w:rPr>
                <w:rFonts w:ascii="Arial" w:hAnsi="Arial" w:cs="Arial"/>
                <w:bCs/>
                <w:color w:val="000000" w:themeColor="text1"/>
                <w:sz w:val="24"/>
                <w:szCs w:val="24"/>
                <w:u w:val="single"/>
              </w:rPr>
              <w:t>Pre-Auction Process and Price Offer.</w:t>
            </w:r>
            <w:r w:rsidRPr="00C919A3">
              <w:rPr>
                <w:rFonts w:ascii="Arial" w:hAnsi="Arial" w:cs="Arial"/>
                <w:bCs/>
                <w:color w:val="000000" w:themeColor="text1"/>
                <w:sz w:val="24"/>
                <w:szCs w:val="24"/>
              </w:rPr>
              <w:t xml:space="preserve"> </w:t>
            </w:r>
          </w:p>
          <w:p w14:paraId="35A8FA04" w14:textId="77777777" w:rsidR="00E6735A" w:rsidRPr="00C919A3" w:rsidRDefault="00E6735A" w:rsidP="00E6735A">
            <w:pPr>
              <w:ind w:left="709" w:right="571" w:hanging="79"/>
              <w:jc w:val="both"/>
              <w:rPr>
                <w:rFonts w:ascii="Arial" w:hAnsi="Arial" w:cs="Arial"/>
                <w:bCs/>
                <w:color w:val="000000" w:themeColor="text1"/>
                <w:sz w:val="24"/>
                <w:szCs w:val="24"/>
              </w:rPr>
            </w:pPr>
          </w:p>
          <w:p w14:paraId="2E8C4465" w14:textId="6BE5A0EE" w:rsidR="00E6735A" w:rsidRPr="00C919A3" w:rsidRDefault="00AF408F" w:rsidP="003557F9">
            <w:pPr>
              <w:ind w:right="27"/>
              <w:jc w:val="both"/>
              <w:rPr>
                <w:rFonts w:ascii="Arial" w:hAnsi="Arial" w:cs="Arial"/>
                <w:sz w:val="24"/>
                <w:szCs w:val="24"/>
              </w:rPr>
            </w:pPr>
            <w:r w:rsidRPr="00C919A3">
              <w:rPr>
                <w:rFonts w:ascii="Arial" w:hAnsi="Arial" w:cs="Arial"/>
                <w:sz w:val="24"/>
                <w:szCs w:val="24"/>
              </w:rPr>
              <w:t xml:space="preserve">                </w:t>
            </w:r>
            <w:r w:rsidR="00E6735A" w:rsidRPr="00C919A3">
              <w:rPr>
                <w:rFonts w:ascii="Arial" w:hAnsi="Arial" w:cs="Arial"/>
                <w:sz w:val="24"/>
                <w:szCs w:val="24"/>
              </w:rPr>
              <w:t>xxx</w:t>
            </w:r>
            <w:r w:rsidR="00E6735A" w:rsidRPr="00C919A3">
              <w:rPr>
                <w:rFonts w:ascii="Arial" w:hAnsi="Arial" w:cs="Arial"/>
                <w:sz w:val="24"/>
                <w:szCs w:val="24"/>
              </w:rPr>
              <w:tab/>
            </w:r>
            <w:r w:rsidRPr="00C919A3">
              <w:rPr>
                <w:rFonts w:ascii="Arial" w:hAnsi="Arial" w:cs="Arial"/>
                <w:sz w:val="24"/>
                <w:szCs w:val="24"/>
              </w:rPr>
              <w:t xml:space="preserve">            </w:t>
            </w:r>
            <w:proofErr w:type="spellStart"/>
            <w:r w:rsidR="00E6735A" w:rsidRPr="00C919A3">
              <w:rPr>
                <w:rFonts w:ascii="Arial" w:hAnsi="Arial" w:cs="Arial"/>
                <w:sz w:val="24"/>
                <w:szCs w:val="24"/>
              </w:rPr>
              <w:t>xxx</w:t>
            </w:r>
            <w:proofErr w:type="spellEnd"/>
            <w:r w:rsidR="00E6735A" w:rsidRPr="00C919A3">
              <w:rPr>
                <w:rFonts w:ascii="Arial" w:hAnsi="Arial" w:cs="Arial"/>
                <w:sz w:val="24"/>
                <w:szCs w:val="24"/>
              </w:rPr>
              <w:tab/>
            </w:r>
            <w:r w:rsidRPr="00C919A3">
              <w:rPr>
                <w:rFonts w:ascii="Arial" w:hAnsi="Arial" w:cs="Arial"/>
                <w:sz w:val="24"/>
                <w:szCs w:val="24"/>
              </w:rPr>
              <w:t xml:space="preserve">     </w:t>
            </w:r>
            <w:r w:rsidR="00CE4CAD" w:rsidRPr="00C919A3">
              <w:rPr>
                <w:rFonts w:ascii="Arial" w:hAnsi="Arial" w:cs="Arial"/>
                <w:sz w:val="24"/>
                <w:szCs w:val="24"/>
              </w:rPr>
              <w:t xml:space="preserve">    </w:t>
            </w:r>
            <w:proofErr w:type="spellStart"/>
            <w:r w:rsidR="00E6735A" w:rsidRPr="00C919A3">
              <w:rPr>
                <w:rFonts w:ascii="Arial" w:hAnsi="Arial" w:cs="Arial"/>
                <w:sz w:val="24"/>
                <w:szCs w:val="24"/>
              </w:rPr>
              <w:t>xxx</w:t>
            </w:r>
            <w:proofErr w:type="spellEnd"/>
            <w:r w:rsidR="00E6735A" w:rsidRPr="00C919A3">
              <w:rPr>
                <w:rFonts w:ascii="Arial" w:hAnsi="Arial" w:cs="Arial"/>
                <w:sz w:val="24"/>
                <w:szCs w:val="24"/>
              </w:rPr>
              <w:tab/>
            </w:r>
            <w:r w:rsidRPr="00C919A3">
              <w:rPr>
                <w:rFonts w:ascii="Arial" w:hAnsi="Arial" w:cs="Arial"/>
                <w:sz w:val="24"/>
                <w:szCs w:val="24"/>
              </w:rPr>
              <w:t xml:space="preserve">       </w:t>
            </w:r>
            <w:proofErr w:type="spellStart"/>
            <w:r w:rsidR="00E6735A" w:rsidRPr="00C919A3">
              <w:rPr>
                <w:rFonts w:ascii="Arial" w:hAnsi="Arial" w:cs="Arial"/>
                <w:sz w:val="24"/>
                <w:szCs w:val="24"/>
              </w:rPr>
              <w:t>xxx</w:t>
            </w:r>
            <w:proofErr w:type="spellEnd"/>
          </w:p>
          <w:p w14:paraId="629844EF" w14:textId="77777777" w:rsidR="00CE4CAD" w:rsidRPr="00C919A3" w:rsidRDefault="00CE4CAD" w:rsidP="003557F9">
            <w:pPr>
              <w:ind w:right="27"/>
              <w:jc w:val="both"/>
              <w:rPr>
                <w:rFonts w:ascii="Arial" w:hAnsi="Arial" w:cs="Arial"/>
                <w:sz w:val="24"/>
                <w:szCs w:val="24"/>
              </w:rPr>
            </w:pPr>
          </w:p>
          <w:p w14:paraId="45176F28" w14:textId="77777777" w:rsidR="00BB275B" w:rsidRDefault="00425FB3" w:rsidP="00BB275B">
            <w:pPr>
              <w:ind w:left="731" w:right="594"/>
              <w:jc w:val="both"/>
              <w:rPr>
                <w:rFonts w:ascii="Arial" w:hAnsi="Arial" w:cs="Arial"/>
                <w:bCs/>
                <w:color w:val="000000" w:themeColor="text1"/>
                <w:sz w:val="24"/>
                <w:szCs w:val="24"/>
              </w:rPr>
            </w:pPr>
            <w:r w:rsidRPr="00C919A3">
              <w:rPr>
                <w:rFonts w:ascii="Arial" w:hAnsi="Arial" w:cs="Arial"/>
                <w:bCs/>
                <w:color w:val="000000" w:themeColor="text1"/>
                <w:sz w:val="24"/>
                <w:szCs w:val="24"/>
              </w:rPr>
              <w:t xml:space="preserve">“Within sixty (60) calendar days, the ERC shall promulgate rules on the Price Determination Methodology (PDM) taking into consideration the set of parameters and criteria based on among others cost range assumptions and Weighted Cost of Capital of Project Internal Rate of Return (PIRR).  These </w:t>
            </w:r>
            <w:proofErr w:type="gramStart"/>
            <w:r w:rsidRPr="00C919A3">
              <w:rPr>
                <w:rFonts w:ascii="Arial" w:hAnsi="Arial" w:cs="Arial"/>
                <w:bCs/>
                <w:color w:val="000000" w:themeColor="text1"/>
                <w:sz w:val="24"/>
                <w:szCs w:val="24"/>
              </w:rPr>
              <w:t>shall to</w:t>
            </w:r>
            <w:proofErr w:type="gramEnd"/>
            <w:r w:rsidRPr="00C919A3">
              <w:rPr>
                <w:rFonts w:ascii="Arial" w:hAnsi="Arial" w:cs="Arial"/>
                <w:bCs/>
                <w:color w:val="000000" w:themeColor="text1"/>
                <w:sz w:val="24"/>
                <w:szCs w:val="24"/>
              </w:rPr>
              <w:t xml:space="preserve"> be used in its evaluation of Price Offers submitted by Bidders.” </w:t>
            </w:r>
          </w:p>
          <w:p w14:paraId="1839523E" w14:textId="35742E0D" w:rsidR="00CE4CAD" w:rsidRPr="00C919A3" w:rsidRDefault="00425FB3" w:rsidP="00BB275B">
            <w:pPr>
              <w:ind w:left="731" w:right="594"/>
              <w:jc w:val="both"/>
              <w:rPr>
                <w:rFonts w:ascii="Arial" w:hAnsi="Arial" w:cs="Arial"/>
                <w:b/>
                <w:bCs/>
                <w:color w:val="FF0000"/>
                <w:sz w:val="24"/>
                <w:szCs w:val="24"/>
              </w:rPr>
            </w:pPr>
            <w:r w:rsidRPr="00C919A3">
              <w:rPr>
                <w:rFonts w:ascii="Arial" w:hAnsi="Arial" w:cs="Arial"/>
                <w:bCs/>
                <w:color w:val="000000" w:themeColor="text1"/>
                <w:sz w:val="24"/>
                <w:szCs w:val="24"/>
              </w:rPr>
              <w:t xml:space="preserve">  </w:t>
            </w:r>
          </w:p>
        </w:tc>
        <w:tc>
          <w:tcPr>
            <w:tcW w:w="4255" w:type="dxa"/>
          </w:tcPr>
          <w:p w14:paraId="6A14C201" w14:textId="77777777" w:rsidR="003E3602" w:rsidRPr="003557F9" w:rsidRDefault="003E3602" w:rsidP="00040EFE">
            <w:pPr>
              <w:jc w:val="center"/>
              <w:rPr>
                <w:rFonts w:ascii="Arial" w:hAnsi="Arial" w:cs="Arial"/>
                <w:b/>
                <w:bCs/>
                <w:sz w:val="24"/>
                <w:szCs w:val="24"/>
              </w:rPr>
            </w:pPr>
          </w:p>
        </w:tc>
        <w:tc>
          <w:tcPr>
            <w:tcW w:w="3683" w:type="dxa"/>
          </w:tcPr>
          <w:p w14:paraId="39638405" w14:textId="77777777" w:rsidR="003E3602" w:rsidRPr="003557F9" w:rsidRDefault="003E3602" w:rsidP="00040EFE">
            <w:pPr>
              <w:jc w:val="center"/>
              <w:rPr>
                <w:rFonts w:ascii="Arial" w:hAnsi="Arial" w:cs="Arial"/>
                <w:b/>
                <w:bCs/>
                <w:sz w:val="24"/>
                <w:szCs w:val="24"/>
              </w:rPr>
            </w:pPr>
          </w:p>
        </w:tc>
      </w:tr>
      <w:tr w:rsidR="003E3602" w:rsidRPr="003557F9" w14:paraId="3A4875DD" w14:textId="77777777" w:rsidTr="00CE4CAD">
        <w:trPr>
          <w:trHeight w:val="677"/>
          <w:tblHeader/>
        </w:trPr>
        <w:tc>
          <w:tcPr>
            <w:tcW w:w="6799" w:type="dxa"/>
          </w:tcPr>
          <w:p w14:paraId="5BA40793" w14:textId="1251EF09" w:rsidR="003E3602" w:rsidRPr="00C919A3" w:rsidRDefault="00F661C8" w:rsidP="008F428F">
            <w:pPr>
              <w:pStyle w:val="p2"/>
              <w:tabs>
                <w:tab w:val="left" w:pos="284"/>
                <w:tab w:val="left" w:pos="567"/>
                <w:tab w:val="left" w:pos="851"/>
                <w:tab w:val="left" w:pos="1134"/>
              </w:tabs>
              <w:jc w:val="both"/>
              <w:rPr>
                <w:rFonts w:ascii="Arial" w:hAnsi="Arial" w:cs="Arial"/>
                <w:sz w:val="24"/>
                <w:szCs w:val="24"/>
              </w:rPr>
            </w:pPr>
            <w:r w:rsidRPr="00C919A3">
              <w:rPr>
                <w:rFonts w:ascii="Arial" w:hAnsi="Arial" w:cs="Arial"/>
                <w:b/>
                <w:bCs/>
                <w:sz w:val="24"/>
                <w:szCs w:val="24"/>
              </w:rPr>
              <w:lastRenderedPageBreak/>
              <w:t xml:space="preserve">Section 2. </w:t>
            </w:r>
            <w:r w:rsidRPr="00C919A3">
              <w:rPr>
                <w:rFonts w:ascii="Arial" w:hAnsi="Arial" w:cs="Arial"/>
                <w:sz w:val="24"/>
                <w:szCs w:val="24"/>
              </w:rPr>
              <w:t>Section 5.2, 2</w:t>
            </w:r>
            <w:r w:rsidRPr="00C919A3">
              <w:rPr>
                <w:rFonts w:ascii="Arial" w:hAnsi="Arial" w:cs="Arial"/>
                <w:sz w:val="24"/>
                <w:szCs w:val="24"/>
                <w:vertAlign w:val="superscript"/>
              </w:rPr>
              <w:t>nd</w:t>
            </w:r>
            <w:r w:rsidRPr="00C919A3">
              <w:rPr>
                <w:rFonts w:ascii="Arial" w:hAnsi="Arial" w:cs="Arial"/>
                <w:sz w:val="24"/>
                <w:szCs w:val="24"/>
              </w:rPr>
              <w:t xml:space="preserve"> paragraph, is hereby deleted.</w:t>
            </w:r>
          </w:p>
        </w:tc>
        <w:tc>
          <w:tcPr>
            <w:tcW w:w="4255" w:type="dxa"/>
          </w:tcPr>
          <w:p w14:paraId="3EC38771" w14:textId="77777777" w:rsidR="003E3602" w:rsidRPr="003557F9" w:rsidRDefault="003E3602" w:rsidP="00040EFE">
            <w:pPr>
              <w:jc w:val="center"/>
              <w:rPr>
                <w:rFonts w:ascii="Arial" w:hAnsi="Arial" w:cs="Arial"/>
                <w:b/>
                <w:bCs/>
                <w:sz w:val="24"/>
                <w:szCs w:val="24"/>
              </w:rPr>
            </w:pPr>
          </w:p>
        </w:tc>
        <w:tc>
          <w:tcPr>
            <w:tcW w:w="3683" w:type="dxa"/>
          </w:tcPr>
          <w:p w14:paraId="6E2FC93F" w14:textId="77777777" w:rsidR="003E3602" w:rsidRPr="003557F9" w:rsidRDefault="003E3602" w:rsidP="00040EFE">
            <w:pPr>
              <w:jc w:val="center"/>
              <w:rPr>
                <w:rFonts w:ascii="Arial" w:hAnsi="Arial" w:cs="Arial"/>
                <w:b/>
                <w:bCs/>
                <w:sz w:val="24"/>
                <w:szCs w:val="24"/>
              </w:rPr>
            </w:pPr>
          </w:p>
        </w:tc>
      </w:tr>
      <w:tr w:rsidR="003E3602" w:rsidRPr="003557F9" w14:paraId="15925A20" w14:textId="77777777" w:rsidTr="7DB4BAA9">
        <w:trPr>
          <w:trHeight w:val="1015"/>
          <w:tblHeader/>
        </w:trPr>
        <w:tc>
          <w:tcPr>
            <w:tcW w:w="6799" w:type="dxa"/>
          </w:tcPr>
          <w:p w14:paraId="2DBE9AE7" w14:textId="77777777" w:rsidR="00355FB6" w:rsidRPr="00C919A3" w:rsidRDefault="00355FB6" w:rsidP="00355FB6">
            <w:pPr>
              <w:jc w:val="both"/>
              <w:rPr>
                <w:rFonts w:ascii="Arial" w:hAnsi="Arial" w:cs="Arial"/>
                <w:sz w:val="24"/>
                <w:szCs w:val="24"/>
              </w:rPr>
            </w:pPr>
            <w:r w:rsidRPr="00C919A3">
              <w:rPr>
                <w:rFonts w:ascii="Arial" w:hAnsi="Arial" w:cs="Arial"/>
                <w:b/>
                <w:bCs/>
                <w:sz w:val="24"/>
                <w:szCs w:val="24"/>
              </w:rPr>
              <w:t xml:space="preserve">Section 3. </w:t>
            </w:r>
            <w:r w:rsidRPr="00C919A3">
              <w:rPr>
                <w:rFonts w:ascii="Arial" w:hAnsi="Arial" w:cs="Arial"/>
                <w:sz w:val="24"/>
                <w:szCs w:val="24"/>
              </w:rPr>
              <w:t>Section 5.4, 2</w:t>
            </w:r>
            <w:r w:rsidRPr="00C919A3">
              <w:rPr>
                <w:rFonts w:ascii="Arial" w:hAnsi="Arial" w:cs="Arial"/>
                <w:sz w:val="24"/>
                <w:szCs w:val="24"/>
                <w:vertAlign w:val="superscript"/>
              </w:rPr>
              <w:t>nd</w:t>
            </w:r>
            <w:r w:rsidRPr="00C919A3">
              <w:rPr>
                <w:rFonts w:ascii="Arial" w:hAnsi="Arial" w:cs="Arial"/>
                <w:sz w:val="24"/>
                <w:szCs w:val="24"/>
              </w:rPr>
              <w:t xml:space="preserve"> paragraph, is hereby amended to read as follows:</w:t>
            </w:r>
          </w:p>
          <w:p w14:paraId="47DF4E41" w14:textId="77777777" w:rsidR="00CE4CAD" w:rsidRPr="00C919A3" w:rsidRDefault="00CE4CAD" w:rsidP="00355FB6">
            <w:pPr>
              <w:jc w:val="both"/>
              <w:rPr>
                <w:rFonts w:ascii="Arial" w:hAnsi="Arial" w:cs="Arial"/>
                <w:sz w:val="24"/>
                <w:szCs w:val="24"/>
              </w:rPr>
            </w:pPr>
          </w:p>
          <w:p w14:paraId="03CECE7F" w14:textId="77777777" w:rsidR="005C50A4" w:rsidRPr="00C919A3" w:rsidRDefault="005C50A4" w:rsidP="005C50A4">
            <w:pPr>
              <w:ind w:right="571" w:firstLine="720"/>
              <w:jc w:val="both"/>
              <w:rPr>
                <w:rFonts w:ascii="Arial" w:hAnsi="Arial" w:cs="Arial"/>
                <w:sz w:val="24"/>
                <w:szCs w:val="24"/>
              </w:rPr>
            </w:pPr>
            <w:r w:rsidRPr="00C919A3">
              <w:rPr>
                <w:rFonts w:ascii="Arial" w:hAnsi="Arial" w:cs="Arial"/>
                <w:bCs/>
                <w:color w:val="000000" w:themeColor="text1"/>
                <w:sz w:val="24"/>
                <w:szCs w:val="24"/>
              </w:rPr>
              <w:t xml:space="preserve">“Section 5.4. </w:t>
            </w:r>
            <w:r w:rsidRPr="00C919A3">
              <w:rPr>
                <w:rFonts w:ascii="Arial" w:hAnsi="Arial" w:cs="Arial"/>
                <w:bCs/>
                <w:color w:val="000000" w:themeColor="text1"/>
                <w:sz w:val="24"/>
                <w:szCs w:val="24"/>
                <w:u w:val="single"/>
              </w:rPr>
              <w:t>Evaluation of Offers.</w:t>
            </w:r>
            <w:r w:rsidRPr="00C919A3">
              <w:rPr>
                <w:rFonts w:ascii="Arial" w:hAnsi="Arial" w:cs="Arial"/>
                <w:sz w:val="24"/>
                <w:szCs w:val="24"/>
              </w:rPr>
              <w:t xml:space="preserve"> </w:t>
            </w:r>
          </w:p>
          <w:p w14:paraId="2FD4924A" w14:textId="77777777" w:rsidR="005C50A4" w:rsidRPr="00C919A3" w:rsidRDefault="005C50A4" w:rsidP="005C50A4">
            <w:pPr>
              <w:ind w:left="567" w:right="571"/>
              <w:jc w:val="both"/>
              <w:rPr>
                <w:rFonts w:ascii="Arial" w:hAnsi="Arial" w:cs="Arial"/>
                <w:bCs/>
                <w:color w:val="000000" w:themeColor="text1"/>
                <w:sz w:val="24"/>
                <w:szCs w:val="24"/>
              </w:rPr>
            </w:pPr>
          </w:p>
          <w:p w14:paraId="5D13B112" w14:textId="77777777" w:rsidR="00CE4CAD" w:rsidRPr="00C919A3" w:rsidRDefault="00CE4CAD" w:rsidP="00CE4CAD">
            <w:pPr>
              <w:ind w:right="27"/>
              <w:jc w:val="both"/>
              <w:rPr>
                <w:rFonts w:ascii="Arial" w:hAnsi="Arial" w:cs="Arial"/>
                <w:sz w:val="24"/>
                <w:szCs w:val="24"/>
              </w:rPr>
            </w:pPr>
            <w:r w:rsidRPr="00C919A3">
              <w:rPr>
                <w:rFonts w:ascii="Arial" w:hAnsi="Arial" w:cs="Arial"/>
                <w:sz w:val="24"/>
                <w:szCs w:val="24"/>
              </w:rPr>
              <w:t xml:space="preserve">                xxx</w:t>
            </w:r>
            <w:r w:rsidRPr="00C919A3">
              <w:rPr>
                <w:rFonts w:ascii="Arial" w:hAnsi="Arial" w:cs="Arial"/>
                <w:sz w:val="24"/>
                <w:szCs w:val="24"/>
              </w:rPr>
              <w:tab/>
              <w:t xml:space="preserve">            xxx</w:t>
            </w:r>
            <w:r w:rsidRPr="00C919A3">
              <w:rPr>
                <w:rFonts w:ascii="Arial" w:hAnsi="Arial" w:cs="Arial"/>
                <w:sz w:val="24"/>
                <w:szCs w:val="24"/>
              </w:rPr>
              <w:tab/>
              <w:t xml:space="preserve">         </w:t>
            </w:r>
            <w:proofErr w:type="spellStart"/>
            <w:r w:rsidRPr="00C919A3">
              <w:rPr>
                <w:rFonts w:ascii="Arial" w:hAnsi="Arial" w:cs="Arial"/>
                <w:sz w:val="24"/>
                <w:szCs w:val="24"/>
              </w:rPr>
              <w:t>xxx</w:t>
            </w:r>
            <w:proofErr w:type="spellEnd"/>
            <w:r w:rsidRPr="00C919A3">
              <w:rPr>
                <w:rFonts w:ascii="Arial" w:hAnsi="Arial" w:cs="Arial"/>
                <w:sz w:val="24"/>
                <w:szCs w:val="24"/>
              </w:rPr>
              <w:tab/>
              <w:t xml:space="preserve">       </w:t>
            </w:r>
            <w:proofErr w:type="spellStart"/>
            <w:r w:rsidRPr="00C919A3">
              <w:rPr>
                <w:rFonts w:ascii="Arial" w:hAnsi="Arial" w:cs="Arial"/>
                <w:sz w:val="24"/>
                <w:szCs w:val="24"/>
              </w:rPr>
              <w:t>xxx</w:t>
            </w:r>
            <w:proofErr w:type="spellEnd"/>
          </w:p>
          <w:p w14:paraId="08D46A1B" w14:textId="77777777" w:rsidR="00CE4CAD" w:rsidRPr="00C919A3" w:rsidRDefault="00CE4CAD" w:rsidP="00CE4CAD">
            <w:pPr>
              <w:ind w:right="27"/>
              <w:jc w:val="both"/>
              <w:rPr>
                <w:rFonts w:ascii="Arial" w:hAnsi="Arial" w:cs="Arial"/>
                <w:sz w:val="24"/>
                <w:szCs w:val="24"/>
              </w:rPr>
            </w:pPr>
          </w:p>
          <w:p w14:paraId="0B3E1242" w14:textId="77777777" w:rsidR="003E3602" w:rsidRPr="00C919A3" w:rsidRDefault="00C4141D" w:rsidP="00C4141D">
            <w:pPr>
              <w:ind w:left="734" w:right="601"/>
              <w:jc w:val="both"/>
              <w:rPr>
                <w:rFonts w:ascii="Arial" w:hAnsi="Arial" w:cs="Arial"/>
                <w:bCs/>
                <w:color w:val="000000" w:themeColor="text1"/>
                <w:sz w:val="24"/>
                <w:szCs w:val="24"/>
              </w:rPr>
            </w:pPr>
            <w:r w:rsidRPr="00C919A3">
              <w:rPr>
                <w:rFonts w:ascii="Arial" w:hAnsi="Arial" w:cs="Arial"/>
                <w:bCs/>
                <w:color w:val="000000" w:themeColor="text1"/>
                <w:sz w:val="24"/>
                <w:szCs w:val="24"/>
              </w:rPr>
              <w:t>“After evaluation, the DOE shall endorse the respective Price Offers of legally and technically compliant bids to the ERC. The ERC shall, within sixty (60) days upon receipt of the DOE endorsement, evaluate the Price Offers of the Bidders endorsed by the DOE based on its approved PDM for Non-FIT-eligible RE Technologies.”</w:t>
            </w:r>
          </w:p>
          <w:p w14:paraId="19564052" w14:textId="6F9E9526" w:rsidR="00C4141D" w:rsidRPr="00C919A3" w:rsidRDefault="00C4141D" w:rsidP="00C4141D">
            <w:pPr>
              <w:ind w:left="734" w:right="601"/>
              <w:jc w:val="both"/>
              <w:rPr>
                <w:rFonts w:ascii="Arial" w:hAnsi="Arial" w:cs="Arial"/>
                <w:color w:val="FF0000"/>
                <w:sz w:val="24"/>
                <w:szCs w:val="24"/>
              </w:rPr>
            </w:pPr>
          </w:p>
        </w:tc>
        <w:tc>
          <w:tcPr>
            <w:tcW w:w="4255" w:type="dxa"/>
          </w:tcPr>
          <w:p w14:paraId="1CEE3733" w14:textId="77777777" w:rsidR="003E3602" w:rsidRPr="003557F9" w:rsidRDefault="003E3602" w:rsidP="00040EFE">
            <w:pPr>
              <w:jc w:val="center"/>
              <w:rPr>
                <w:rFonts w:ascii="Arial" w:hAnsi="Arial" w:cs="Arial"/>
                <w:b/>
                <w:bCs/>
                <w:sz w:val="24"/>
                <w:szCs w:val="24"/>
              </w:rPr>
            </w:pPr>
          </w:p>
        </w:tc>
        <w:tc>
          <w:tcPr>
            <w:tcW w:w="3683" w:type="dxa"/>
          </w:tcPr>
          <w:p w14:paraId="79C855D9" w14:textId="77777777" w:rsidR="003E3602" w:rsidRPr="003557F9" w:rsidRDefault="003E3602" w:rsidP="00040EFE">
            <w:pPr>
              <w:jc w:val="center"/>
              <w:rPr>
                <w:rFonts w:ascii="Arial" w:hAnsi="Arial" w:cs="Arial"/>
                <w:b/>
                <w:bCs/>
                <w:sz w:val="24"/>
                <w:szCs w:val="24"/>
              </w:rPr>
            </w:pPr>
          </w:p>
        </w:tc>
      </w:tr>
      <w:tr w:rsidR="003E3602" w:rsidRPr="003557F9" w14:paraId="4E7C6C1D" w14:textId="77777777" w:rsidTr="008F428F">
        <w:trPr>
          <w:trHeight w:val="3134"/>
          <w:tblHeader/>
        </w:trPr>
        <w:tc>
          <w:tcPr>
            <w:tcW w:w="6799" w:type="dxa"/>
          </w:tcPr>
          <w:p w14:paraId="039A753A" w14:textId="77777777" w:rsidR="004612C6" w:rsidRPr="00C919A3" w:rsidRDefault="004612C6" w:rsidP="004612C6">
            <w:pPr>
              <w:jc w:val="both"/>
              <w:rPr>
                <w:rFonts w:ascii="Arial" w:hAnsi="Arial" w:cs="Arial"/>
                <w:sz w:val="24"/>
                <w:szCs w:val="24"/>
              </w:rPr>
            </w:pPr>
            <w:r w:rsidRPr="00C919A3">
              <w:rPr>
                <w:rFonts w:ascii="Arial" w:hAnsi="Arial" w:cs="Arial"/>
                <w:b/>
                <w:bCs/>
                <w:sz w:val="24"/>
                <w:szCs w:val="24"/>
              </w:rPr>
              <w:t xml:space="preserve">Section 4. </w:t>
            </w:r>
            <w:r w:rsidRPr="00C919A3">
              <w:rPr>
                <w:rFonts w:ascii="Arial" w:hAnsi="Arial" w:cs="Arial"/>
                <w:sz w:val="24"/>
                <w:szCs w:val="24"/>
              </w:rPr>
              <w:t>Section 6 is hereby amended to read as follows:</w:t>
            </w:r>
          </w:p>
          <w:p w14:paraId="1569890F" w14:textId="77777777" w:rsidR="003E3602" w:rsidRPr="00C919A3" w:rsidRDefault="003E3602" w:rsidP="7DB4BAA9">
            <w:pPr>
              <w:jc w:val="both"/>
              <w:rPr>
                <w:rFonts w:ascii="Arial" w:hAnsi="Arial" w:cs="Arial"/>
                <w:color w:val="FF0000"/>
                <w:sz w:val="24"/>
                <w:szCs w:val="24"/>
              </w:rPr>
            </w:pPr>
          </w:p>
          <w:p w14:paraId="01E1FDC5" w14:textId="46B3C7BA" w:rsidR="00CE4CAD" w:rsidRPr="00C919A3" w:rsidRDefault="0038500F" w:rsidP="00CE4CAD">
            <w:pPr>
              <w:ind w:left="731" w:right="571"/>
              <w:jc w:val="both"/>
              <w:rPr>
                <w:rFonts w:ascii="Arial" w:hAnsi="Arial" w:cs="Arial"/>
                <w:bCs/>
                <w:color w:val="000000" w:themeColor="text1"/>
                <w:sz w:val="24"/>
                <w:szCs w:val="24"/>
              </w:rPr>
            </w:pPr>
            <w:r w:rsidRPr="00C919A3">
              <w:rPr>
                <w:rFonts w:ascii="Arial" w:hAnsi="Arial" w:cs="Arial"/>
                <w:bCs/>
                <w:sz w:val="24"/>
                <w:szCs w:val="24"/>
              </w:rPr>
              <w:t>“</w:t>
            </w:r>
            <w:r w:rsidRPr="00C919A3">
              <w:rPr>
                <w:rFonts w:ascii="Arial" w:hAnsi="Arial" w:cs="Arial"/>
                <w:b/>
                <w:sz w:val="24"/>
                <w:szCs w:val="24"/>
              </w:rPr>
              <w:t>Section 6. Price Offer.</w:t>
            </w:r>
            <w:r w:rsidRPr="00C919A3">
              <w:rPr>
                <w:rFonts w:ascii="Arial" w:hAnsi="Arial" w:cs="Arial"/>
                <w:bCs/>
                <w:sz w:val="24"/>
                <w:szCs w:val="24"/>
              </w:rPr>
              <w:t xml:space="preserve"> The Winning Bidders for each Auction Round for Non-FIT-Eligible RE technology shall be those whose Price Offers were endorsed by the DOE to ERC.  The ERC shall evaluate Price Offers based on the PDM described under Section 1 hereof, which may include adjustments as may be determined by ERC.”</w:t>
            </w:r>
          </w:p>
        </w:tc>
        <w:tc>
          <w:tcPr>
            <w:tcW w:w="4255" w:type="dxa"/>
          </w:tcPr>
          <w:p w14:paraId="55D1112F" w14:textId="77777777" w:rsidR="003E3602" w:rsidRPr="003557F9" w:rsidRDefault="003E3602" w:rsidP="00040EFE">
            <w:pPr>
              <w:jc w:val="center"/>
              <w:rPr>
                <w:rFonts w:ascii="Arial" w:hAnsi="Arial" w:cs="Arial"/>
                <w:b/>
                <w:bCs/>
                <w:sz w:val="24"/>
                <w:szCs w:val="24"/>
              </w:rPr>
            </w:pPr>
          </w:p>
        </w:tc>
        <w:tc>
          <w:tcPr>
            <w:tcW w:w="3683" w:type="dxa"/>
          </w:tcPr>
          <w:p w14:paraId="508D0EC5" w14:textId="77777777" w:rsidR="003E3602" w:rsidRPr="003557F9" w:rsidRDefault="003E3602" w:rsidP="00040EFE">
            <w:pPr>
              <w:jc w:val="center"/>
              <w:rPr>
                <w:rFonts w:ascii="Arial" w:hAnsi="Arial" w:cs="Arial"/>
                <w:b/>
                <w:bCs/>
                <w:sz w:val="24"/>
                <w:szCs w:val="24"/>
              </w:rPr>
            </w:pPr>
          </w:p>
        </w:tc>
      </w:tr>
      <w:tr w:rsidR="003E3602" w:rsidRPr="003557F9" w14:paraId="5102C932" w14:textId="77777777" w:rsidTr="7DB4BAA9">
        <w:trPr>
          <w:trHeight w:val="1015"/>
          <w:tblHeader/>
        </w:trPr>
        <w:tc>
          <w:tcPr>
            <w:tcW w:w="6799" w:type="dxa"/>
          </w:tcPr>
          <w:p w14:paraId="0342CFBB" w14:textId="77777777" w:rsidR="00040A04" w:rsidRPr="00C919A3" w:rsidRDefault="00040A04" w:rsidP="00040A04">
            <w:pPr>
              <w:pStyle w:val="p2"/>
              <w:tabs>
                <w:tab w:val="left" w:pos="284"/>
                <w:tab w:val="left" w:pos="567"/>
                <w:tab w:val="left" w:pos="851"/>
                <w:tab w:val="left" w:pos="1134"/>
              </w:tabs>
              <w:jc w:val="both"/>
              <w:rPr>
                <w:rFonts w:ascii="Arial" w:eastAsia="Book Antiqua" w:hAnsi="Arial" w:cs="Arial"/>
                <w:sz w:val="24"/>
                <w:szCs w:val="24"/>
              </w:rPr>
            </w:pPr>
            <w:r w:rsidRPr="00C919A3">
              <w:rPr>
                <w:rFonts w:ascii="Arial" w:hAnsi="Arial" w:cs="Arial"/>
                <w:b/>
                <w:bCs/>
                <w:sz w:val="24"/>
                <w:szCs w:val="24"/>
              </w:rPr>
              <w:t>Section 5. Separability Clause</w:t>
            </w:r>
            <w:r w:rsidRPr="00C919A3">
              <w:rPr>
                <w:rFonts w:ascii="Arial" w:hAnsi="Arial" w:cs="Arial"/>
                <w:sz w:val="24"/>
                <w:szCs w:val="24"/>
              </w:rPr>
              <w:t>. If any provision of this Circular is declared invalid or unconstitutional, the other provisions not affected thereby shall remain valid and subsisting. </w:t>
            </w:r>
          </w:p>
          <w:p w14:paraId="159C6077" w14:textId="12520A46" w:rsidR="003E3602" w:rsidRPr="00C919A3" w:rsidRDefault="003E3602" w:rsidP="7DB4BAA9">
            <w:pPr>
              <w:ind w:left="567" w:hanging="578"/>
              <w:jc w:val="both"/>
              <w:rPr>
                <w:rFonts w:ascii="Arial" w:hAnsi="Arial" w:cs="Arial"/>
                <w:b/>
                <w:bCs/>
                <w:color w:val="FF0000"/>
                <w:sz w:val="24"/>
                <w:szCs w:val="24"/>
                <w:lang w:val="en-US"/>
              </w:rPr>
            </w:pPr>
          </w:p>
        </w:tc>
        <w:tc>
          <w:tcPr>
            <w:tcW w:w="4255" w:type="dxa"/>
          </w:tcPr>
          <w:p w14:paraId="2B2D7179" w14:textId="77777777" w:rsidR="003E3602" w:rsidRPr="003557F9" w:rsidRDefault="003E3602" w:rsidP="00040EFE">
            <w:pPr>
              <w:jc w:val="center"/>
              <w:rPr>
                <w:rFonts w:ascii="Arial" w:hAnsi="Arial" w:cs="Arial"/>
                <w:b/>
                <w:bCs/>
                <w:sz w:val="24"/>
                <w:szCs w:val="24"/>
              </w:rPr>
            </w:pPr>
          </w:p>
        </w:tc>
        <w:tc>
          <w:tcPr>
            <w:tcW w:w="3683" w:type="dxa"/>
          </w:tcPr>
          <w:p w14:paraId="09670A4C" w14:textId="77777777" w:rsidR="003E3602" w:rsidRPr="003557F9" w:rsidRDefault="003E3602" w:rsidP="00040EFE">
            <w:pPr>
              <w:jc w:val="center"/>
              <w:rPr>
                <w:rFonts w:ascii="Arial" w:hAnsi="Arial" w:cs="Arial"/>
                <w:b/>
                <w:bCs/>
                <w:sz w:val="24"/>
                <w:szCs w:val="24"/>
              </w:rPr>
            </w:pPr>
          </w:p>
        </w:tc>
      </w:tr>
      <w:tr w:rsidR="003E3602" w:rsidRPr="003557F9" w14:paraId="48F36893" w14:textId="77777777" w:rsidTr="7DB4BAA9">
        <w:trPr>
          <w:trHeight w:val="1015"/>
          <w:tblHeader/>
        </w:trPr>
        <w:tc>
          <w:tcPr>
            <w:tcW w:w="6799" w:type="dxa"/>
          </w:tcPr>
          <w:p w14:paraId="38834531" w14:textId="77777777" w:rsidR="00713372" w:rsidRPr="00C919A3" w:rsidRDefault="00713372" w:rsidP="00713372">
            <w:pPr>
              <w:jc w:val="both"/>
              <w:rPr>
                <w:rFonts w:ascii="Arial" w:hAnsi="Arial" w:cs="Arial"/>
                <w:sz w:val="24"/>
                <w:szCs w:val="24"/>
              </w:rPr>
            </w:pPr>
            <w:r w:rsidRPr="00C919A3">
              <w:rPr>
                <w:rFonts w:ascii="Arial" w:hAnsi="Arial" w:cs="Arial"/>
                <w:b/>
                <w:bCs/>
                <w:sz w:val="24"/>
                <w:szCs w:val="24"/>
              </w:rPr>
              <w:lastRenderedPageBreak/>
              <w:t>Section 6. Repealing Clause</w:t>
            </w:r>
            <w:r w:rsidRPr="00C919A3">
              <w:rPr>
                <w:rFonts w:ascii="Arial" w:hAnsi="Arial" w:cs="Arial"/>
                <w:sz w:val="24"/>
                <w:szCs w:val="24"/>
              </w:rPr>
              <w:t xml:space="preserve">. All previous issuances, </w:t>
            </w:r>
            <w:proofErr w:type="gramStart"/>
            <w:r w:rsidRPr="00C919A3">
              <w:rPr>
                <w:rFonts w:ascii="Arial" w:hAnsi="Arial" w:cs="Arial"/>
                <w:sz w:val="24"/>
                <w:szCs w:val="24"/>
              </w:rPr>
              <w:t>rules</w:t>
            </w:r>
            <w:proofErr w:type="gramEnd"/>
            <w:r w:rsidRPr="00C919A3">
              <w:rPr>
                <w:rFonts w:ascii="Arial" w:hAnsi="Arial" w:cs="Arial"/>
                <w:sz w:val="24"/>
                <w:szCs w:val="24"/>
              </w:rPr>
              <w:t xml:space="preserve"> and regulations inconsistent with this Circular are hereby repealed, amended or modified accordingly.</w:t>
            </w:r>
          </w:p>
          <w:p w14:paraId="4DFF57DF" w14:textId="674761E4" w:rsidR="003E3602" w:rsidRPr="00C919A3" w:rsidRDefault="003E3602" w:rsidP="00652618">
            <w:pPr>
              <w:jc w:val="both"/>
              <w:rPr>
                <w:rFonts w:ascii="Arial" w:hAnsi="Arial" w:cs="Arial"/>
                <w:sz w:val="24"/>
                <w:szCs w:val="24"/>
              </w:rPr>
            </w:pPr>
          </w:p>
        </w:tc>
        <w:tc>
          <w:tcPr>
            <w:tcW w:w="4255" w:type="dxa"/>
          </w:tcPr>
          <w:p w14:paraId="57DAE864" w14:textId="77777777" w:rsidR="003E3602" w:rsidRPr="003557F9" w:rsidRDefault="003E3602" w:rsidP="00040EFE">
            <w:pPr>
              <w:jc w:val="center"/>
              <w:rPr>
                <w:rFonts w:ascii="Arial" w:hAnsi="Arial" w:cs="Arial"/>
                <w:b/>
                <w:bCs/>
                <w:sz w:val="24"/>
                <w:szCs w:val="24"/>
              </w:rPr>
            </w:pPr>
          </w:p>
        </w:tc>
        <w:tc>
          <w:tcPr>
            <w:tcW w:w="3683" w:type="dxa"/>
          </w:tcPr>
          <w:p w14:paraId="04123121" w14:textId="77777777" w:rsidR="003E3602" w:rsidRPr="003557F9" w:rsidRDefault="003E3602" w:rsidP="00040EFE">
            <w:pPr>
              <w:jc w:val="center"/>
              <w:rPr>
                <w:rFonts w:ascii="Arial" w:hAnsi="Arial" w:cs="Arial"/>
                <w:b/>
                <w:bCs/>
                <w:sz w:val="24"/>
                <w:szCs w:val="24"/>
              </w:rPr>
            </w:pPr>
          </w:p>
        </w:tc>
      </w:tr>
      <w:tr w:rsidR="003E3602" w:rsidRPr="003557F9" w14:paraId="6D7F968A" w14:textId="77777777" w:rsidTr="7DB4BAA9">
        <w:trPr>
          <w:trHeight w:val="1015"/>
          <w:tblHeader/>
        </w:trPr>
        <w:tc>
          <w:tcPr>
            <w:tcW w:w="6799" w:type="dxa"/>
          </w:tcPr>
          <w:p w14:paraId="670908A5" w14:textId="77777777" w:rsidR="00C919A3" w:rsidRPr="00C919A3" w:rsidRDefault="00C919A3" w:rsidP="00C919A3">
            <w:pPr>
              <w:pStyle w:val="p2"/>
              <w:tabs>
                <w:tab w:val="left" w:pos="284"/>
                <w:tab w:val="left" w:pos="567"/>
                <w:tab w:val="left" w:pos="851"/>
                <w:tab w:val="left" w:pos="1134"/>
              </w:tabs>
              <w:jc w:val="both"/>
              <w:rPr>
                <w:rFonts w:ascii="Arial" w:eastAsia="Book Antiqua" w:hAnsi="Arial" w:cs="Arial"/>
                <w:sz w:val="24"/>
                <w:szCs w:val="24"/>
              </w:rPr>
            </w:pPr>
            <w:r w:rsidRPr="00C919A3">
              <w:rPr>
                <w:rFonts w:ascii="Arial" w:hAnsi="Arial" w:cs="Arial"/>
                <w:b/>
                <w:bCs/>
                <w:sz w:val="24"/>
                <w:szCs w:val="24"/>
              </w:rPr>
              <w:t>Section 7. Effectivity</w:t>
            </w:r>
            <w:r w:rsidRPr="00C919A3">
              <w:rPr>
                <w:rFonts w:ascii="Arial" w:hAnsi="Arial" w:cs="Arial"/>
                <w:sz w:val="24"/>
                <w:szCs w:val="24"/>
              </w:rPr>
              <w:t>. This Circular shall take effect fifteen (15) days after publication in at least two (2) newspapers of general circulation. Copies of this Circular shall be filed with the University of the Philippines Law Center-Office of the National Administrative Register.</w:t>
            </w:r>
          </w:p>
          <w:p w14:paraId="3D8138FE" w14:textId="7CFCDB90" w:rsidR="00CE4CAD" w:rsidRPr="00C919A3" w:rsidRDefault="00CE4CAD" w:rsidP="00901B79">
            <w:pPr>
              <w:pStyle w:val="p2"/>
              <w:tabs>
                <w:tab w:val="left" w:pos="284"/>
                <w:tab w:val="left" w:pos="567"/>
                <w:tab w:val="left" w:pos="851"/>
                <w:tab w:val="left" w:pos="1134"/>
              </w:tabs>
              <w:jc w:val="both"/>
              <w:rPr>
                <w:rFonts w:ascii="Arial" w:eastAsia="Book Antiqua" w:hAnsi="Arial" w:cs="Arial"/>
                <w:sz w:val="24"/>
                <w:szCs w:val="24"/>
              </w:rPr>
            </w:pPr>
          </w:p>
        </w:tc>
        <w:tc>
          <w:tcPr>
            <w:tcW w:w="4255" w:type="dxa"/>
          </w:tcPr>
          <w:p w14:paraId="2174347A" w14:textId="77777777" w:rsidR="003E3602" w:rsidRPr="003557F9" w:rsidRDefault="003E3602" w:rsidP="00040EFE">
            <w:pPr>
              <w:jc w:val="center"/>
              <w:rPr>
                <w:rFonts w:ascii="Arial" w:hAnsi="Arial" w:cs="Arial"/>
                <w:b/>
                <w:bCs/>
                <w:sz w:val="24"/>
                <w:szCs w:val="24"/>
              </w:rPr>
            </w:pPr>
          </w:p>
        </w:tc>
        <w:tc>
          <w:tcPr>
            <w:tcW w:w="3683" w:type="dxa"/>
          </w:tcPr>
          <w:p w14:paraId="020DFBC0" w14:textId="77777777" w:rsidR="003E3602" w:rsidRPr="003557F9" w:rsidRDefault="003E3602" w:rsidP="00040EFE">
            <w:pPr>
              <w:jc w:val="center"/>
              <w:rPr>
                <w:rFonts w:ascii="Arial" w:hAnsi="Arial" w:cs="Arial"/>
                <w:b/>
                <w:bCs/>
                <w:sz w:val="24"/>
                <w:szCs w:val="24"/>
              </w:rPr>
            </w:pPr>
          </w:p>
        </w:tc>
      </w:tr>
    </w:tbl>
    <w:p w14:paraId="48F32E0E" w14:textId="77777777" w:rsidR="008C10E1" w:rsidRPr="003557F9" w:rsidRDefault="008C10E1">
      <w:pPr>
        <w:rPr>
          <w:rFonts w:ascii="Arial" w:hAnsi="Arial" w:cs="Arial"/>
          <w:sz w:val="24"/>
          <w:szCs w:val="24"/>
        </w:rPr>
      </w:pPr>
    </w:p>
    <w:sectPr w:rsidR="008C10E1" w:rsidRPr="003557F9" w:rsidSect="00B473B2">
      <w:headerReference w:type="default" r:id="rId11"/>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C5CE" w14:textId="77777777" w:rsidR="00B473B2" w:rsidRDefault="00B473B2" w:rsidP="00040EFE">
      <w:pPr>
        <w:spacing w:after="0" w:line="240" w:lineRule="auto"/>
      </w:pPr>
      <w:r>
        <w:separator/>
      </w:r>
    </w:p>
  </w:endnote>
  <w:endnote w:type="continuationSeparator" w:id="0">
    <w:p w14:paraId="70CA66E2" w14:textId="77777777" w:rsidR="00B473B2" w:rsidRDefault="00B473B2"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7A35" w14:textId="77777777" w:rsidR="00B473B2" w:rsidRDefault="00B473B2" w:rsidP="00040EFE">
      <w:pPr>
        <w:spacing w:after="0" w:line="240" w:lineRule="auto"/>
      </w:pPr>
      <w:r>
        <w:separator/>
      </w:r>
    </w:p>
  </w:footnote>
  <w:footnote w:type="continuationSeparator" w:id="0">
    <w:p w14:paraId="1591A39E" w14:textId="77777777" w:rsidR="00B473B2" w:rsidRDefault="00B473B2"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AB8E" w14:textId="50465250" w:rsidR="007B3274" w:rsidRPr="00542BF4" w:rsidRDefault="00040EFE" w:rsidP="007B3274">
    <w:pPr>
      <w:pStyle w:val="NoSpacing"/>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Pr>
        <w:rFonts w:ascii="Arial" w:hAnsi="Arial" w:cs="Arial"/>
        <w:b/>
        <w:bCs/>
      </w:rPr>
      <w:br/>
    </w:r>
    <w:bookmarkStart w:id="0" w:name="_Hlk106964847"/>
    <w:r w:rsidR="00542BF4" w:rsidRPr="00542BF4">
      <w:rPr>
        <w:rFonts w:ascii="Arial" w:hAnsi="Arial" w:cs="Arial"/>
        <w:b/>
        <w:bCs/>
      </w:rPr>
      <w:t>“Providing Specific Auction Policy and Guidelines for Non-FIT Eligible RE technologies in the Green Energy Auction Program”.</w:t>
    </w:r>
  </w:p>
  <w:bookmarkEnd w:id="0"/>
  <w:p w14:paraId="20C2CDED" w14:textId="4B0612B8" w:rsidR="00040EFE" w:rsidRDefault="00040EFE" w:rsidP="007B3274">
    <w:pPr>
      <w:pStyle w:val="p2"/>
      <w:tabs>
        <w:tab w:val="left" w:pos="284"/>
        <w:tab w:val="left" w:pos="567"/>
        <w:tab w:val="left" w:pos="851"/>
        <w:tab w:val="left" w:pos="113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5"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6"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0"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1"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3"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8E35071"/>
    <w:multiLevelType w:val="hybridMultilevel"/>
    <w:tmpl w:val="7FA0B7DE"/>
    <w:lvl w:ilvl="0" w:tplc="3034862E">
      <w:start w:val="1"/>
      <w:numFmt w:val="lowerLetter"/>
      <w:lvlText w:val="%1."/>
      <w:lvlJc w:val="lef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6"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7"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8"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9" w15:restartNumberingAfterBreak="0">
    <w:nsid w:val="3FB37EFE"/>
    <w:multiLevelType w:val="hybridMultilevel"/>
    <w:tmpl w:val="3F20192A"/>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2643BA6"/>
    <w:multiLevelType w:val="hybridMultilevel"/>
    <w:tmpl w:val="B844BC68"/>
    <w:lvl w:ilvl="0" w:tplc="6CCE9DB4">
      <w:start w:val="1"/>
      <w:numFmt w:val="decimal"/>
      <w:lvlText w:val="Section %1."/>
      <w:lvlJc w:val="left"/>
      <w:pPr>
        <w:ind w:left="644" w:hanging="360"/>
      </w:pPr>
      <w:rPr>
        <w:rFonts w:hint="default"/>
        <w:b/>
        <w:bCs w:val="0"/>
      </w:rPr>
    </w:lvl>
    <w:lvl w:ilvl="1" w:tplc="5A3AD068">
      <w:start w:val="1"/>
      <w:numFmt w:val="lowerLetter"/>
      <w:lvlText w:val="(%2) "/>
      <w:lvlJc w:val="left"/>
      <w:pPr>
        <w:ind w:left="-1395" w:hanging="360"/>
      </w:pPr>
      <w:rPr>
        <w:rFonts w:hint="default"/>
        <w:b w:val="0"/>
      </w:rPr>
    </w:lvl>
    <w:lvl w:ilvl="2" w:tplc="3409001B" w:tentative="1">
      <w:start w:val="1"/>
      <w:numFmt w:val="lowerRoman"/>
      <w:lvlText w:val="%3."/>
      <w:lvlJc w:val="right"/>
      <w:pPr>
        <w:ind w:left="-675" w:hanging="180"/>
      </w:pPr>
    </w:lvl>
    <w:lvl w:ilvl="3" w:tplc="3409000F" w:tentative="1">
      <w:start w:val="1"/>
      <w:numFmt w:val="decimal"/>
      <w:lvlText w:val="%4."/>
      <w:lvlJc w:val="left"/>
      <w:pPr>
        <w:ind w:left="45" w:hanging="360"/>
      </w:pPr>
    </w:lvl>
    <w:lvl w:ilvl="4" w:tplc="34090019" w:tentative="1">
      <w:start w:val="1"/>
      <w:numFmt w:val="lowerLetter"/>
      <w:lvlText w:val="%5."/>
      <w:lvlJc w:val="left"/>
      <w:pPr>
        <w:ind w:left="765" w:hanging="360"/>
      </w:pPr>
    </w:lvl>
    <w:lvl w:ilvl="5" w:tplc="3409001B" w:tentative="1">
      <w:start w:val="1"/>
      <w:numFmt w:val="lowerRoman"/>
      <w:lvlText w:val="%6."/>
      <w:lvlJc w:val="right"/>
      <w:pPr>
        <w:ind w:left="1485" w:hanging="180"/>
      </w:pPr>
    </w:lvl>
    <w:lvl w:ilvl="6" w:tplc="3409000F" w:tentative="1">
      <w:start w:val="1"/>
      <w:numFmt w:val="decimal"/>
      <w:lvlText w:val="%7."/>
      <w:lvlJc w:val="left"/>
      <w:pPr>
        <w:ind w:left="2205" w:hanging="360"/>
      </w:pPr>
    </w:lvl>
    <w:lvl w:ilvl="7" w:tplc="34090019" w:tentative="1">
      <w:start w:val="1"/>
      <w:numFmt w:val="lowerLetter"/>
      <w:lvlText w:val="%8."/>
      <w:lvlJc w:val="left"/>
      <w:pPr>
        <w:ind w:left="2925" w:hanging="360"/>
      </w:pPr>
    </w:lvl>
    <w:lvl w:ilvl="8" w:tplc="3409001B" w:tentative="1">
      <w:start w:val="1"/>
      <w:numFmt w:val="lowerRoman"/>
      <w:lvlText w:val="%9."/>
      <w:lvlJc w:val="right"/>
      <w:pPr>
        <w:ind w:left="3645" w:hanging="180"/>
      </w:pPr>
    </w:lvl>
  </w:abstractNum>
  <w:abstractNum w:abstractNumId="22"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8435C"/>
    <w:multiLevelType w:val="hybridMultilevel"/>
    <w:tmpl w:val="B844BC68"/>
    <w:lvl w:ilvl="0" w:tplc="FFFFFFFF">
      <w:start w:val="1"/>
      <w:numFmt w:val="decimal"/>
      <w:lvlText w:val="Section %1."/>
      <w:lvlJc w:val="left"/>
      <w:pPr>
        <w:ind w:left="644" w:hanging="360"/>
      </w:pPr>
      <w:rPr>
        <w:rFonts w:hint="default"/>
        <w:b/>
        <w:bCs w:val="0"/>
      </w:rPr>
    </w:lvl>
    <w:lvl w:ilvl="1" w:tplc="FFFFFFFF">
      <w:start w:val="1"/>
      <w:numFmt w:val="lowerLetter"/>
      <w:lvlText w:val="(%2) "/>
      <w:lvlJc w:val="left"/>
      <w:pPr>
        <w:ind w:left="-1395" w:hanging="360"/>
      </w:pPr>
      <w:rPr>
        <w:rFonts w:hint="default"/>
        <w:b w:val="0"/>
      </w:rPr>
    </w:lvl>
    <w:lvl w:ilvl="2" w:tplc="FFFFFFFF" w:tentative="1">
      <w:start w:val="1"/>
      <w:numFmt w:val="lowerRoman"/>
      <w:lvlText w:val="%3."/>
      <w:lvlJc w:val="right"/>
      <w:pPr>
        <w:ind w:left="-675" w:hanging="180"/>
      </w:pPr>
    </w:lvl>
    <w:lvl w:ilvl="3" w:tplc="FFFFFFFF" w:tentative="1">
      <w:start w:val="1"/>
      <w:numFmt w:val="decimal"/>
      <w:lvlText w:val="%4."/>
      <w:lvlJc w:val="left"/>
      <w:pPr>
        <w:ind w:left="45" w:hanging="360"/>
      </w:pPr>
    </w:lvl>
    <w:lvl w:ilvl="4" w:tplc="FFFFFFFF" w:tentative="1">
      <w:start w:val="1"/>
      <w:numFmt w:val="lowerLetter"/>
      <w:lvlText w:val="%5."/>
      <w:lvlJc w:val="left"/>
      <w:pPr>
        <w:ind w:left="765" w:hanging="360"/>
      </w:pPr>
    </w:lvl>
    <w:lvl w:ilvl="5" w:tplc="FFFFFFFF" w:tentative="1">
      <w:start w:val="1"/>
      <w:numFmt w:val="lowerRoman"/>
      <w:lvlText w:val="%6."/>
      <w:lvlJc w:val="right"/>
      <w:pPr>
        <w:ind w:left="1485" w:hanging="180"/>
      </w:pPr>
    </w:lvl>
    <w:lvl w:ilvl="6" w:tplc="FFFFFFFF" w:tentative="1">
      <w:start w:val="1"/>
      <w:numFmt w:val="decimal"/>
      <w:lvlText w:val="%7."/>
      <w:lvlJc w:val="left"/>
      <w:pPr>
        <w:ind w:left="2205" w:hanging="360"/>
      </w:pPr>
    </w:lvl>
    <w:lvl w:ilvl="7" w:tplc="FFFFFFFF" w:tentative="1">
      <w:start w:val="1"/>
      <w:numFmt w:val="lowerLetter"/>
      <w:lvlText w:val="%8."/>
      <w:lvlJc w:val="left"/>
      <w:pPr>
        <w:ind w:left="2925" w:hanging="360"/>
      </w:pPr>
    </w:lvl>
    <w:lvl w:ilvl="8" w:tplc="FFFFFFFF" w:tentative="1">
      <w:start w:val="1"/>
      <w:numFmt w:val="lowerRoman"/>
      <w:lvlText w:val="%9."/>
      <w:lvlJc w:val="right"/>
      <w:pPr>
        <w:ind w:left="3645" w:hanging="180"/>
      </w:pPr>
    </w:lvl>
  </w:abstractNum>
  <w:abstractNum w:abstractNumId="25"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35538C0"/>
    <w:multiLevelType w:val="hybridMultilevel"/>
    <w:tmpl w:val="D1008D1E"/>
    <w:lvl w:ilvl="0" w:tplc="88E2ED7C">
      <w:start w:val="1"/>
      <w:numFmt w:val="lowerLetter"/>
      <w:lvlText w:val="(%1)"/>
      <w:lvlJc w:val="left"/>
      <w:pPr>
        <w:ind w:left="720" w:hanging="360"/>
      </w:pPr>
      <w:rPr>
        <w:rFonts w:ascii="Arial" w:hAnsi="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28"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30"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31"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4"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35"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36"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7"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38" w15:restartNumberingAfterBreak="0">
    <w:nsid w:val="7D173EF6"/>
    <w:multiLevelType w:val="hybridMultilevel"/>
    <w:tmpl w:val="7FA0B7DE"/>
    <w:lvl w:ilvl="0" w:tplc="FFFFFFFF">
      <w:start w:val="1"/>
      <w:numFmt w:val="lowerLetter"/>
      <w:lvlText w:val="%1."/>
      <w:lvlJc w:val="left"/>
      <w:pPr>
        <w:ind w:left="720" w:hanging="360"/>
      </w:pPr>
      <w:rPr>
        <w:rFonts w:ascii="Arial" w:eastAsiaTheme="minorHAnsi" w:hAnsi="Arial" w:cs="Arial"/>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751121">
    <w:abstractNumId w:val="35"/>
  </w:num>
  <w:num w:numId="2" w16cid:durableId="1409377145">
    <w:abstractNumId w:val="27"/>
  </w:num>
  <w:num w:numId="3" w16cid:durableId="1709797498">
    <w:abstractNumId w:val="18"/>
  </w:num>
  <w:num w:numId="4" w16cid:durableId="1058939451">
    <w:abstractNumId w:val="9"/>
  </w:num>
  <w:num w:numId="5" w16cid:durableId="159270763">
    <w:abstractNumId w:val="12"/>
  </w:num>
  <w:num w:numId="6" w16cid:durableId="2009939644">
    <w:abstractNumId w:val="1"/>
  </w:num>
  <w:num w:numId="7" w16cid:durableId="2025940443">
    <w:abstractNumId w:val="4"/>
  </w:num>
  <w:num w:numId="8" w16cid:durableId="1079326290">
    <w:abstractNumId w:val="11"/>
  </w:num>
  <w:num w:numId="9" w16cid:durableId="1256400940">
    <w:abstractNumId w:val="28"/>
  </w:num>
  <w:num w:numId="10" w16cid:durableId="1273629011">
    <w:abstractNumId w:val="22"/>
  </w:num>
  <w:num w:numId="11" w16cid:durableId="1542209372">
    <w:abstractNumId w:val="20"/>
  </w:num>
  <w:num w:numId="12" w16cid:durableId="41053420">
    <w:abstractNumId w:val="10"/>
  </w:num>
  <w:num w:numId="13" w16cid:durableId="455098656">
    <w:abstractNumId w:val="23"/>
  </w:num>
  <w:num w:numId="14" w16cid:durableId="627858828">
    <w:abstractNumId w:val="29"/>
  </w:num>
  <w:num w:numId="15" w16cid:durableId="1825124234">
    <w:abstractNumId w:val="30"/>
  </w:num>
  <w:num w:numId="16" w16cid:durableId="959649526">
    <w:abstractNumId w:val="25"/>
  </w:num>
  <w:num w:numId="17" w16cid:durableId="544411089">
    <w:abstractNumId w:val="13"/>
  </w:num>
  <w:num w:numId="18" w16cid:durableId="1338507322">
    <w:abstractNumId w:val="34"/>
  </w:num>
  <w:num w:numId="19" w16cid:durableId="1936553317">
    <w:abstractNumId w:val="33"/>
  </w:num>
  <w:num w:numId="20" w16cid:durableId="16736487">
    <w:abstractNumId w:val="17"/>
  </w:num>
  <w:num w:numId="21" w16cid:durableId="2012485156">
    <w:abstractNumId w:val="5"/>
  </w:num>
  <w:num w:numId="22" w16cid:durableId="1450927929">
    <w:abstractNumId w:val="3"/>
  </w:num>
  <w:num w:numId="23" w16cid:durableId="1794326489">
    <w:abstractNumId w:val="8"/>
  </w:num>
  <w:num w:numId="24" w16cid:durableId="1226255842">
    <w:abstractNumId w:val="6"/>
  </w:num>
  <w:num w:numId="25" w16cid:durableId="481241405">
    <w:abstractNumId w:val="36"/>
  </w:num>
  <w:num w:numId="26" w16cid:durableId="1088382830">
    <w:abstractNumId w:val="37"/>
  </w:num>
  <w:num w:numId="27" w16cid:durableId="1091120781">
    <w:abstractNumId w:val="2"/>
  </w:num>
  <w:num w:numId="28" w16cid:durableId="764882055">
    <w:abstractNumId w:val="15"/>
  </w:num>
  <w:num w:numId="29" w16cid:durableId="1214778977">
    <w:abstractNumId w:val="16"/>
  </w:num>
  <w:num w:numId="30" w16cid:durableId="2065447246">
    <w:abstractNumId w:val="31"/>
  </w:num>
  <w:num w:numId="31" w16cid:durableId="249700045">
    <w:abstractNumId w:val="14"/>
  </w:num>
  <w:num w:numId="32" w16cid:durableId="1583251252">
    <w:abstractNumId w:val="38"/>
  </w:num>
  <w:num w:numId="33" w16cid:durableId="411006537">
    <w:abstractNumId w:val="32"/>
  </w:num>
  <w:num w:numId="34" w16cid:durableId="2104836638">
    <w:abstractNumId w:val="0"/>
  </w:num>
  <w:num w:numId="35" w16cid:durableId="1225486044">
    <w:abstractNumId w:val="7"/>
  </w:num>
  <w:num w:numId="36" w16cid:durableId="981424351">
    <w:abstractNumId w:val="21"/>
  </w:num>
  <w:num w:numId="37" w16cid:durableId="1060980204">
    <w:abstractNumId w:val="19"/>
  </w:num>
  <w:num w:numId="38" w16cid:durableId="848568627">
    <w:abstractNumId w:val="26"/>
  </w:num>
  <w:num w:numId="39" w16cid:durableId="18695646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30B66"/>
    <w:rsid w:val="00034822"/>
    <w:rsid w:val="000350DF"/>
    <w:rsid w:val="000368A5"/>
    <w:rsid w:val="00040A04"/>
    <w:rsid w:val="00040EFE"/>
    <w:rsid w:val="00055761"/>
    <w:rsid w:val="000705C4"/>
    <w:rsid w:val="000756A5"/>
    <w:rsid w:val="00080A05"/>
    <w:rsid w:val="00090524"/>
    <w:rsid w:val="00091AAB"/>
    <w:rsid w:val="000B0A57"/>
    <w:rsid w:val="000B11B0"/>
    <w:rsid w:val="000B201E"/>
    <w:rsid w:val="000B24B6"/>
    <w:rsid w:val="000C2E6A"/>
    <w:rsid w:val="000C3A93"/>
    <w:rsid w:val="000D2456"/>
    <w:rsid w:val="00106247"/>
    <w:rsid w:val="00123448"/>
    <w:rsid w:val="00135204"/>
    <w:rsid w:val="001414BB"/>
    <w:rsid w:val="001568F1"/>
    <w:rsid w:val="00156AA3"/>
    <w:rsid w:val="0017540F"/>
    <w:rsid w:val="00195C99"/>
    <w:rsid w:val="00196E4D"/>
    <w:rsid w:val="001A3E22"/>
    <w:rsid w:val="001B1080"/>
    <w:rsid w:val="001D58A6"/>
    <w:rsid w:val="0021487B"/>
    <w:rsid w:val="00225424"/>
    <w:rsid w:val="00240866"/>
    <w:rsid w:val="0026772D"/>
    <w:rsid w:val="0028128B"/>
    <w:rsid w:val="002817B4"/>
    <w:rsid w:val="00284B77"/>
    <w:rsid w:val="002A081A"/>
    <w:rsid w:val="002A180F"/>
    <w:rsid w:val="002A7E83"/>
    <w:rsid w:val="002C491C"/>
    <w:rsid w:val="00335FC6"/>
    <w:rsid w:val="00347C81"/>
    <w:rsid w:val="0035078F"/>
    <w:rsid w:val="003557F9"/>
    <w:rsid w:val="00355FB6"/>
    <w:rsid w:val="0037264A"/>
    <w:rsid w:val="0038500F"/>
    <w:rsid w:val="00395B3F"/>
    <w:rsid w:val="003B4841"/>
    <w:rsid w:val="003D3447"/>
    <w:rsid w:val="003D58D1"/>
    <w:rsid w:val="003E3602"/>
    <w:rsid w:val="004145C7"/>
    <w:rsid w:val="00425FB3"/>
    <w:rsid w:val="00437717"/>
    <w:rsid w:val="00440A26"/>
    <w:rsid w:val="00444643"/>
    <w:rsid w:val="004612C6"/>
    <w:rsid w:val="00482F60"/>
    <w:rsid w:val="00485E5B"/>
    <w:rsid w:val="0048667F"/>
    <w:rsid w:val="00486ED1"/>
    <w:rsid w:val="0049227D"/>
    <w:rsid w:val="00497C4C"/>
    <w:rsid w:val="004A4D23"/>
    <w:rsid w:val="004B491A"/>
    <w:rsid w:val="004B5A76"/>
    <w:rsid w:val="004D5F4D"/>
    <w:rsid w:val="004E34F2"/>
    <w:rsid w:val="004F7E99"/>
    <w:rsid w:val="00505814"/>
    <w:rsid w:val="005139B3"/>
    <w:rsid w:val="00513A08"/>
    <w:rsid w:val="00542BF4"/>
    <w:rsid w:val="005539D4"/>
    <w:rsid w:val="0055665A"/>
    <w:rsid w:val="0057034B"/>
    <w:rsid w:val="00570B77"/>
    <w:rsid w:val="00577526"/>
    <w:rsid w:val="00592098"/>
    <w:rsid w:val="00592D51"/>
    <w:rsid w:val="00592EC4"/>
    <w:rsid w:val="005A2D06"/>
    <w:rsid w:val="005B1484"/>
    <w:rsid w:val="005C19D2"/>
    <w:rsid w:val="005C50A4"/>
    <w:rsid w:val="0060080B"/>
    <w:rsid w:val="00612931"/>
    <w:rsid w:val="006203AF"/>
    <w:rsid w:val="00627EA4"/>
    <w:rsid w:val="00652618"/>
    <w:rsid w:val="00656632"/>
    <w:rsid w:val="0068058F"/>
    <w:rsid w:val="00681002"/>
    <w:rsid w:val="00691B8D"/>
    <w:rsid w:val="006B4DF9"/>
    <w:rsid w:val="006E2DF8"/>
    <w:rsid w:val="00700870"/>
    <w:rsid w:val="00706315"/>
    <w:rsid w:val="00713372"/>
    <w:rsid w:val="00721BF9"/>
    <w:rsid w:val="00722C44"/>
    <w:rsid w:val="00731893"/>
    <w:rsid w:val="00752654"/>
    <w:rsid w:val="007633D2"/>
    <w:rsid w:val="00795511"/>
    <w:rsid w:val="007B3274"/>
    <w:rsid w:val="007B380D"/>
    <w:rsid w:val="007B4304"/>
    <w:rsid w:val="007B52BB"/>
    <w:rsid w:val="007C7093"/>
    <w:rsid w:val="007E1920"/>
    <w:rsid w:val="007E7274"/>
    <w:rsid w:val="007F44AE"/>
    <w:rsid w:val="0082769D"/>
    <w:rsid w:val="00846957"/>
    <w:rsid w:val="00853AE6"/>
    <w:rsid w:val="0088176E"/>
    <w:rsid w:val="00882060"/>
    <w:rsid w:val="00885075"/>
    <w:rsid w:val="0089500E"/>
    <w:rsid w:val="00895728"/>
    <w:rsid w:val="008A2655"/>
    <w:rsid w:val="008C10E1"/>
    <w:rsid w:val="008D49BC"/>
    <w:rsid w:val="008E3468"/>
    <w:rsid w:val="008F428F"/>
    <w:rsid w:val="00901B79"/>
    <w:rsid w:val="00904A5C"/>
    <w:rsid w:val="00916033"/>
    <w:rsid w:val="009A2FF7"/>
    <w:rsid w:val="009A4D4A"/>
    <w:rsid w:val="009C28B6"/>
    <w:rsid w:val="009C672B"/>
    <w:rsid w:val="009D41CC"/>
    <w:rsid w:val="009E602F"/>
    <w:rsid w:val="00A00060"/>
    <w:rsid w:val="00A0690E"/>
    <w:rsid w:val="00A402F9"/>
    <w:rsid w:val="00A51781"/>
    <w:rsid w:val="00A7712F"/>
    <w:rsid w:val="00A83989"/>
    <w:rsid w:val="00AB0D45"/>
    <w:rsid w:val="00AC0FE1"/>
    <w:rsid w:val="00AC3D87"/>
    <w:rsid w:val="00AE3E5E"/>
    <w:rsid w:val="00AF2A87"/>
    <w:rsid w:val="00AF408F"/>
    <w:rsid w:val="00AF4F00"/>
    <w:rsid w:val="00AF65F8"/>
    <w:rsid w:val="00B26EF3"/>
    <w:rsid w:val="00B2792F"/>
    <w:rsid w:val="00B3388C"/>
    <w:rsid w:val="00B33A35"/>
    <w:rsid w:val="00B473B2"/>
    <w:rsid w:val="00B87C7E"/>
    <w:rsid w:val="00B90D04"/>
    <w:rsid w:val="00B95ED8"/>
    <w:rsid w:val="00BB275B"/>
    <w:rsid w:val="00BC18C3"/>
    <w:rsid w:val="00BC4BE4"/>
    <w:rsid w:val="00BE4101"/>
    <w:rsid w:val="00BF4385"/>
    <w:rsid w:val="00BF7729"/>
    <w:rsid w:val="00C001D6"/>
    <w:rsid w:val="00C11930"/>
    <w:rsid w:val="00C16AEB"/>
    <w:rsid w:val="00C4141D"/>
    <w:rsid w:val="00C56B86"/>
    <w:rsid w:val="00C615CA"/>
    <w:rsid w:val="00C658C4"/>
    <w:rsid w:val="00C7019D"/>
    <w:rsid w:val="00C75C43"/>
    <w:rsid w:val="00C919A3"/>
    <w:rsid w:val="00C93F9A"/>
    <w:rsid w:val="00CA58D6"/>
    <w:rsid w:val="00CC5D79"/>
    <w:rsid w:val="00CE4CAD"/>
    <w:rsid w:val="00CE7118"/>
    <w:rsid w:val="00CE7996"/>
    <w:rsid w:val="00CF0C2E"/>
    <w:rsid w:val="00D15783"/>
    <w:rsid w:val="00D17DF4"/>
    <w:rsid w:val="00D4301D"/>
    <w:rsid w:val="00D4600F"/>
    <w:rsid w:val="00D523DE"/>
    <w:rsid w:val="00D643EB"/>
    <w:rsid w:val="00DA0275"/>
    <w:rsid w:val="00DA3E9E"/>
    <w:rsid w:val="00DA462D"/>
    <w:rsid w:val="00DA74C1"/>
    <w:rsid w:val="00DB2F91"/>
    <w:rsid w:val="00DD2345"/>
    <w:rsid w:val="00DE6416"/>
    <w:rsid w:val="00E07D4E"/>
    <w:rsid w:val="00E26D01"/>
    <w:rsid w:val="00E6735A"/>
    <w:rsid w:val="00E82BD3"/>
    <w:rsid w:val="00E841EF"/>
    <w:rsid w:val="00E85B0B"/>
    <w:rsid w:val="00E95390"/>
    <w:rsid w:val="00EA05AF"/>
    <w:rsid w:val="00EA0A0D"/>
    <w:rsid w:val="00EA15DD"/>
    <w:rsid w:val="00EA2BDF"/>
    <w:rsid w:val="00EB64F5"/>
    <w:rsid w:val="00EB7C94"/>
    <w:rsid w:val="00EF2EA1"/>
    <w:rsid w:val="00F13199"/>
    <w:rsid w:val="00F17867"/>
    <w:rsid w:val="00F477CF"/>
    <w:rsid w:val="00F47A8E"/>
    <w:rsid w:val="00F51740"/>
    <w:rsid w:val="00F549C2"/>
    <w:rsid w:val="00F661C8"/>
    <w:rsid w:val="00F745F7"/>
    <w:rsid w:val="00F74FB0"/>
    <w:rsid w:val="00FA216E"/>
    <w:rsid w:val="00FB0F8A"/>
    <w:rsid w:val="00FC5C53"/>
    <w:rsid w:val="00FD06E1"/>
    <w:rsid w:val="00FD111F"/>
    <w:rsid w:val="00FD2CC0"/>
    <w:rsid w:val="2343F0E5"/>
    <w:rsid w:val="48E269B9"/>
    <w:rsid w:val="79F9D52C"/>
    <w:rsid w:val="7DB4BA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AD"/>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D55DE-4E68-43F5-B7B7-ED80A904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049f-08c8-4bed-80a2-46a2923689e2"/>
    <ds:schemaRef ds:uri="86353bc8-26f6-44ff-b86f-47b0bee36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customXml/itemProps3.xml><?xml version="1.0" encoding="utf-8"?>
<ds:datastoreItem xmlns:ds="http://schemas.openxmlformats.org/officeDocument/2006/customXml" ds:itemID="{C3F7182C-3C22-4B89-8D3C-7BAD285E07A0}">
  <ds:schemaRefs>
    <ds:schemaRef ds:uri="http://schemas.openxmlformats.org/officeDocument/2006/bibliography"/>
  </ds:schemaRefs>
</ds:datastoreItem>
</file>

<file path=customXml/itemProps4.xml><?xml version="1.0" encoding="utf-8"?>
<ds:datastoreItem xmlns:ds="http://schemas.openxmlformats.org/officeDocument/2006/customXml" ds:itemID="{328D853A-4970-408C-ABA7-BEC28B01E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Tristan Jan A. Seraspi</cp:lastModifiedBy>
  <cp:revision>50</cp:revision>
  <dcterms:created xsi:type="dcterms:W3CDTF">2024-02-13T10:52:00Z</dcterms:created>
  <dcterms:modified xsi:type="dcterms:W3CDTF">2024-02-14T03:45:00Z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y fmtid="{D5CDD505-2E9C-101B-9397-08002B2CF9AE}" pid="3" name="MediaServiceImageTags">
    <vt:lpwstr/>
  </property>
</Properties>
</file>