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37" w:type="dxa"/>
        <w:tblLook w:val="04A0" w:firstRow="1" w:lastRow="0" w:firstColumn="1" w:lastColumn="0" w:noHBand="0" w:noVBand="1"/>
      </w:tblPr>
      <w:tblGrid>
        <w:gridCol w:w="6799"/>
        <w:gridCol w:w="4255"/>
        <w:gridCol w:w="3683"/>
      </w:tblGrid>
      <w:tr w:rsidR="00040EFE" w:rsidRPr="008F428F" w14:paraId="0EA24E5D" w14:textId="77777777" w:rsidTr="7DB4BAA9">
        <w:trPr>
          <w:trHeight w:val="262"/>
          <w:tblHeader/>
        </w:trPr>
        <w:tc>
          <w:tcPr>
            <w:tcW w:w="6799" w:type="dxa"/>
          </w:tcPr>
          <w:p w14:paraId="48D0075C" w14:textId="1608EB80"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Section</w:t>
            </w:r>
          </w:p>
        </w:tc>
        <w:tc>
          <w:tcPr>
            <w:tcW w:w="4255" w:type="dxa"/>
          </w:tcPr>
          <w:p w14:paraId="6FB73D78" w14:textId="0ED525B3"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Comments/Recommendation</w:t>
            </w:r>
          </w:p>
        </w:tc>
        <w:tc>
          <w:tcPr>
            <w:tcW w:w="3683" w:type="dxa"/>
          </w:tcPr>
          <w:p w14:paraId="63BE17C2" w14:textId="0E45D225"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Proposed/Suggested Revision</w:t>
            </w:r>
          </w:p>
        </w:tc>
      </w:tr>
      <w:tr w:rsidR="009D41CC" w:rsidRPr="008F428F" w14:paraId="6ED0F68A" w14:textId="77777777" w:rsidTr="7DB4BAA9">
        <w:trPr>
          <w:trHeight w:val="262"/>
          <w:tblHeader/>
        </w:trPr>
        <w:tc>
          <w:tcPr>
            <w:tcW w:w="6799" w:type="dxa"/>
          </w:tcPr>
          <w:p w14:paraId="18190C76" w14:textId="5A85000C" w:rsidR="003E3602" w:rsidRPr="008F428F" w:rsidRDefault="003E3602" w:rsidP="003E3602">
            <w:pPr>
              <w:jc w:val="center"/>
              <w:rPr>
                <w:rFonts w:ascii="Arial" w:hAnsi="Arial" w:cs="Arial"/>
                <w:b/>
                <w:sz w:val="24"/>
                <w:szCs w:val="24"/>
              </w:rPr>
            </w:pPr>
            <w:r w:rsidRPr="008F428F">
              <w:rPr>
                <w:rFonts w:ascii="Arial" w:hAnsi="Arial" w:cs="Arial"/>
                <w:b/>
                <w:sz w:val="24"/>
                <w:szCs w:val="24"/>
              </w:rPr>
              <w:t>DEPARTMENT CIRCULAR NO. DC202</w:t>
            </w:r>
            <w:r w:rsidR="00347C81" w:rsidRPr="008F428F">
              <w:rPr>
                <w:rFonts w:ascii="Arial" w:hAnsi="Arial" w:cs="Arial"/>
                <w:b/>
                <w:sz w:val="24"/>
                <w:szCs w:val="24"/>
              </w:rPr>
              <w:t>4</w:t>
            </w:r>
            <w:r w:rsidRPr="008F428F">
              <w:rPr>
                <w:rFonts w:ascii="Arial" w:hAnsi="Arial" w:cs="Arial"/>
                <w:b/>
                <w:sz w:val="24"/>
                <w:szCs w:val="24"/>
              </w:rPr>
              <w:t>-__________</w:t>
            </w:r>
          </w:p>
          <w:p w14:paraId="13FFDBB8" w14:textId="77777777" w:rsidR="003E3602" w:rsidRPr="008F428F" w:rsidRDefault="003E3602" w:rsidP="003E3602">
            <w:pPr>
              <w:jc w:val="center"/>
              <w:rPr>
                <w:rFonts w:ascii="Arial" w:hAnsi="Arial" w:cs="Arial"/>
                <w:b/>
                <w:sz w:val="24"/>
                <w:szCs w:val="24"/>
              </w:rPr>
            </w:pPr>
          </w:p>
          <w:p w14:paraId="7D274849" w14:textId="77777777" w:rsidR="004D719F" w:rsidRPr="00C64041" w:rsidRDefault="004D719F" w:rsidP="004D719F">
            <w:pPr>
              <w:jc w:val="center"/>
              <w:rPr>
                <w:rFonts w:ascii="Arial" w:hAnsi="Arial" w:cs="Arial"/>
                <w:b/>
                <w:bCs/>
                <w:sz w:val="24"/>
                <w:lang w:val="en-US"/>
              </w:rPr>
            </w:pPr>
            <w:r w:rsidRPr="00C64041">
              <w:rPr>
                <w:rFonts w:ascii="Arial" w:hAnsi="Arial" w:cs="Arial"/>
                <w:b/>
                <w:bCs/>
                <w:sz w:val="24"/>
                <w:lang w:val="en-US"/>
              </w:rPr>
              <w:t>PRESCRIBING AMENDMENTS TO</w:t>
            </w:r>
          </w:p>
          <w:p w14:paraId="670D0277" w14:textId="77777777" w:rsidR="004D719F" w:rsidRPr="00C64041" w:rsidRDefault="004D719F" w:rsidP="004D719F">
            <w:pPr>
              <w:jc w:val="center"/>
              <w:rPr>
                <w:rFonts w:ascii="Arial" w:hAnsi="Arial" w:cs="Arial"/>
                <w:b/>
                <w:bCs/>
                <w:sz w:val="24"/>
                <w:lang w:val="en-US"/>
              </w:rPr>
            </w:pPr>
            <w:r w:rsidRPr="00C64041">
              <w:rPr>
                <w:rFonts w:ascii="Arial" w:hAnsi="Arial" w:cs="Arial"/>
                <w:b/>
                <w:bCs/>
                <w:sz w:val="24"/>
                <w:lang w:val="en-US"/>
              </w:rPr>
              <w:t>DEPARTMENT CIRCULAR NO. DC2009-05-0008 TITLED,</w:t>
            </w:r>
          </w:p>
          <w:p w14:paraId="36FDE530" w14:textId="7924896F" w:rsidR="003E3602" w:rsidRPr="008F428F" w:rsidRDefault="004D719F" w:rsidP="004D719F">
            <w:pPr>
              <w:jc w:val="center"/>
              <w:rPr>
                <w:rFonts w:ascii="Arial" w:hAnsi="Arial" w:cs="Arial"/>
                <w:sz w:val="24"/>
                <w:szCs w:val="24"/>
              </w:rPr>
            </w:pPr>
            <w:r w:rsidRPr="00C64041">
              <w:rPr>
                <w:rFonts w:ascii="Arial" w:hAnsi="Arial" w:cs="Arial"/>
                <w:b/>
                <w:bCs/>
                <w:sz w:val="24"/>
                <w:lang w:val="en-US"/>
              </w:rPr>
              <w:t>RULES AND REGULATIONS IMPLEMENTING REPUBLIC ACT NO. 9513, OTHERWISE KNOWN AS THE “RENEWABLE ENERGY ACT OF 2008</w:t>
            </w:r>
          </w:p>
          <w:p w14:paraId="2EA7B8D4" w14:textId="522381B4" w:rsidR="009D41CC" w:rsidRPr="008F428F" w:rsidRDefault="009D41CC" w:rsidP="008E3468">
            <w:pPr>
              <w:jc w:val="both"/>
              <w:rPr>
                <w:rFonts w:ascii="Arial" w:hAnsi="Arial" w:cs="Arial"/>
                <w:sz w:val="24"/>
                <w:szCs w:val="24"/>
              </w:rPr>
            </w:pPr>
          </w:p>
        </w:tc>
        <w:tc>
          <w:tcPr>
            <w:tcW w:w="4255" w:type="dxa"/>
          </w:tcPr>
          <w:p w14:paraId="736A791A" w14:textId="77777777" w:rsidR="009D41CC" w:rsidRPr="008F428F" w:rsidRDefault="009D41CC" w:rsidP="00040EFE">
            <w:pPr>
              <w:jc w:val="center"/>
              <w:rPr>
                <w:rFonts w:ascii="Arial" w:hAnsi="Arial" w:cs="Arial"/>
                <w:b/>
                <w:bCs/>
                <w:sz w:val="28"/>
                <w:szCs w:val="28"/>
              </w:rPr>
            </w:pPr>
          </w:p>
        </w:tc>
        <w:tc>
          <w:tcPr>
            <w:tcW w:w="3683" w:type="dxa"/>
          </w:tcPr>
          <w:p w14:paraId="56B4BD59" w14:textId="77777777" w:rsidR="009D41CC" w:rsidRPr="008F428F" w:rsidRDefault="009D41CC" w:rsidP="00040EFE">
            <w:pPr>
              <w:jc w:val="center"/>
              <w:rPr>
                <w:rFonts w:ascii="Arial" w:hAnsi="Arial" w:cs="Arial"/>
                <w:b/>
                <w:bCs/>
                <w:sz w:val="28"/>
                <w:szCs w:val="28"/>
              </w:rPr>
            </w:pPr>
          </w:p>
        </w:tc>
      </w:tr>
      <w:tr w:rsidR="009E602F" w:rsidRPr="003557F9" w14:paraId="0E5A33FF" w14:textId="77777777" w:rsidTr="7DB4BAA9">
        <w:trPr>
          <w:trHeight w:val="262"/>
          <w:tblHeader/>
        </w:trPr>
        <w:tc>
          <w:tcPr>
            <w:tcW w:w="6799" w:type="dxa"/>
          </w:tcPr>
          <w:p w14:paraId="4844CABD" w14:textId="77777777" w:rsidR="00531281" w:rsidRPr="00C64041" w:rsidRDefault="00531281" w:rsidP="00531281">
            <w:pPr>
              <w:jc w:val="both"/>
              <w:rPr>
                <w:rFonts w:ascii="Arial" w:hAnsi="Arial" w:cs="Arial"/>
                <w:sz w:val="24"/>
              </w:rPr>
            </w:pPr>
            <w:r w:rsidRPr="00C64041">
              <w:rPr>
                <w:rFonts w:ascii="Arial" w:hAnsi="Arial" w:cs="Arial"/>
                <w:b/>
                <w:bCs/>
                <w:sz w:val="24"/>
                <w:lang w:val="en-US"/>
              </w:rPr>
              <w:t xml:space="preserve">WHEREAS, </w:t>
            </w:r>
            <w:r w:rsidRPr="00C64041">
              <w:rPr>
                <w:rFonts w:ascii="Arial" w:hAnsi="Arial" w:cs="Arial"/>
                <w:sz w:val="24"/>
              </w:rPr>
              <w:t xml:space="preserve">Section 2 of </w:t>
            </w:r>
            <w:r w:rsidRPr="00C64041">
              <w:rPr>
                <w:rFonts w:ascii="Arial" w:hAnsi="Arial" w:cs="Arial"/>
                <w:sz w:val="24"/>
                <w:lang w:val="en-US"/>
              </w:rPr>
              <w:t>Republic Act (RA) No. 9513, otherwise known as the “Renewable Energy Act of 2008” (RE Act)</w:t>
            </w:r>
            <w:r w:rsidRPr="00C64041">
              <w:rPr>
                <w:rFonts w:ascii="Arial" w:hAnsi="Arial" w:cs="Arial"/>
                <w:sz w:val="24"/>
              </w:rPr>
              <w:t xml:space="preserve"> directs the State to encourage and accelerate the exploration, development and utilization of renewable energy (RE) resources such as but not limited to, biomass, solar, wind, hydropower, geothermal, and ocean energy sources, and including hybrid </w:t>
            </w:r>
            <w:proofErr w:type="gramStart"/>
            <w:r w:rsidRPr="00C64041">
              <w:rPr>
                <w:rFonts w:ascii="Arial" w:hAnsi="Arial" w:cs="Arial"/>
                <w:sz w:val="24"/>
              </w:rPr>
              <w:t>systems;</w:t>
            </w:r>
            <w:proofErr w:type="gramEnd"/>
          </w:p>
          <w:p w14:paraId="4D491FC9" w14:textId="70BD7ABD" w:rsidR="009E602F" w:rsidRPr="00C919A3" w:rsidRDefault="009E602F" w:rsidP="7DB4BAA9">
            <w:pPr>
              <w:jc w:val="both"/>
              <w:rPr>
                <w:rFonts w:ascii="Arial" w:hAnsi="Arial" w:cs="Arial"/>
                <w:color w:val="FF0000"/>
                <w:sz w:val="24"/>
                <w:szCs w:val="24"/>
              </w:rPr>
            </w:pPr>
          </w:p>
        </w:tc>
        <w:tc>
          <w:tcPr>
            <w:tcW w:w="4255" w:type="dxa"/>
          </w:tcPr>
          <w:p w14:paraId="09552FF3" w14:textId="77777777" w:rsidR="009E602F" w:rsidRPr="003557F9" w:rsidRDefault="009E602F" w:rsidP="00040EFE">
            <w:pPr>
              <w:jc w:val="center"/>
              <w:rPr>
                <w:rFonts w:ascii="Arial" w:hAnsi="Arial" w:cs="Arial"/>
                <w:b/>
                <w:bCs/>
                <w:sz w:val="24"/>
                <w:szCs w:val="24"/>
              </w:rPr>
            </w:pPr>
          </w:p>
        </w:tc>
        <w:tc>
          <w:tcPr>
            <w:tcW w:w="3683" w:type="dxa"/>
          </w:tcPr>
          <w:p w14:paraId="241D2D29" w14:textId="77777777" w:rsidR="009E602F" w:rsidRPr="003557F9" w:rsidRDefault="009E602F" w:rsidP="00040EFE">
            <w:pPr>
              <w:jc w:val="center"/>
              <w:rPr>
                <w:rFonts w:ascii="Arial" w:hAnsi="Arial" w:cs="Arial"/>
                <w:b/>
                <w:bCs/>
                <w:sz w:val="24"/>
                <w:szCs w:val="24"/>
              </w:rPr>
            </w:pPr>
          </w:p>
        </w:tc>
      </w:tr>
      <w:tr w:rsidR="00E85B0B" w:rsidRPr="003557F9" w14:paraId="62888F61" w14:textId="77777777" w:rsidTr="7DB4BAA9">
        <w:trPr>
          <w:trHeight w:val="262"/>
          <w:tblHeader/>
        </w:trPr>
        <w:tc>
          <w:tcPr>
            <w:tcW w:w="6799" w:type="dxa"/>
          </w:tcPr>
          <w:p w14:paraId="6179A2E2" w14:textId="77777777" w:rsidR="00531281" w:rsidRPr="00C64041" w:rsidRDefault="00531281" w:rsidP="00531281">
            <w:pPr>
              <w:jc w:val="both"/>
              <w:rPr>
                <w:rFonts w:ascii="Arial" w:hAnsi="Arial" w:cs="Arial"/>
                <w:sz w:val="24"/>
                <w:lang w:val="en-US"/>
              </w:rPr>
            </w:pPr>
            <w:r w:rsidRPr="00C64041">
              <w:rPr>
                <w:rFonts w:ascii="Arial" w:hAnsi="Arial" w:cs="Arial"/>
                <w:b/>
                <w:bCs/>
                <w:sz w:val="24"/>
                <w:lang w:val="en-US"/>
              </w:rPr>
              <w:t xml:space="preserve">WHEREAS, </w:t>
            </w:r>
            <w:r w:rsidRPr="00C64041">
              <w:rPr>
                <w:rFonts w:ascii="Arial" w:hAnsi="Arial" w:cs="Arial"/>
                <w:sz w:val="24"/>
                <w:lang w:val="en-US"/>
              </w:rPr>
              <w:t xml:space="preserve">under Section 5 of </w:t>
            </w:r>
            <w:r w:rsidRPr="00C64041">
              <w:rPr>
                <w:rFonts w:ascii="Arial" w:hAnsi="Arial" w:cs="Arial"/>
                <w:sz w:val="24"/>
              </w:rPr>
              <w:t>the RE Act</w:t>
            </w:r>
            <w:r w:rsidRPr="00C64041">
              <w:rPr>
                <w:rFonts w:ascii="Arial" w:hAnsi="Arial" w:cs="Arial"/>
                <w:sz w:val="24"/>
                <w:lang w:val="en-US"/>
              </w:rPr>
              <w:t xml:space="preserve">, the Department of Energy (DOE) is mandated to implement the provisions of the </w:t>
            </w:r>
            <w:proofErr w:type="gramStart"/>
            <w:r w:rsidRPr="00C64041">
              <w:rPr>
                <w:rFonts w:ascii="Arial" w:hAnsi="Arial" w:cs="Arial"/>
                <w:sz w:val="24"/>
                <w:lang w:val="en-US"/>
              </w:rPr>
              <w:t>Act;</w:t>
            </w:r>
            <w:proofErr w:type="gramEnd"/>
          </w:p>
          <w:p w14:paraId="5ABD15DF" w14:textId="6CA8727B" w:rsidR="00E85B0B" w:rsidRPr="00531281" w:rsidRDefault="00E85B0B" w:rsidP="7DB4BAA9">
            <w:pPr>
              <w:jc w:val="both"/>
              <w:rPr>
                <w:rFonts w:ascii="Arial" w:hAnsi="Arial" w:cs="Arial"/>
                <w:color w:val="FF0000"/>
                <w:sz w:val="24"/>
                <w:szCs w:val="24"/>
                <w:lang w:val="en-US"/>
              </w:rPr>
            </w:pPr>
          </w:p>
        </w:tc>
        <w:tc>
          <w:tcPr>
            <w:tcW w:w="4255" w:type="dxa"/>
          </w:tcPr>
          <w:p w14:paraId="22FD0267" w14:textId="77777777" w:rsidR="00E85B0B" w:rsidRPr="003557F9" w:rsidRDefault="00E85B0B" w:rsidP="00040EFE">
            <w:pPr>
              <w:jc w:val="center"/>
              <w:rPr>
                <w:rFonts w:ascii="Arial" w:hAnsi="Arial" w:cs="Arial"/>
                <w:b/>
                <w:bCs/>
                <w:sz w:val="24"/>
                <w:szCs w:val="24"/>
              </w:rPr>
            </w:pPr>
          </w:p>
        </w:tc>
        <w:tc>
          <w:tcPr>
            <w:tcW w:w="3683" w:type="dxa"/>
          </w:tcPr>
          <w:p w14:paraId="5F51DC98" w14:textId="77777777" w:rsidR="00E85B0B" w:rsidRPr="003557F9" w:rsidRDefault="00E85B0B" w:rsidP="00040EFE">
            <w:pPr>
              <w:jc w:val="center"/>
              <w:rPr>
                <w:rFonts w:ascii="Arial" w:hAnsi="Arial" w:cs="Arial"/>
                <w:b/>
                <w:bCs/>
                <w:sz w:val="24"/>
                <w:szCs w:val="24"/>
              </w:rPr>
            </w:pPr>
          </w:p>
        </w:tc>
      </w:tr>
      <w:tr w:rsidR="00E85B0B" w:rsidRPr="003557F9" w14:paraId="267B3404" w14:textId="77777777" w:rsidTr="7DB4BAA9">
        <w:trPr>
          <w:trHeight w:val="262"/>
          <w:tblHeader/>
        </w:trPr>
        <w:tc>
          <w:tcPr>
            <w:tcW w:w="6799" w:type="dxa"/>
          </w:tcPr>
          <w:p w14:paraId="3571C66C" w14:textId="77777777" w:rsidR="00531281" w:rsidRPr="00C64041" w:rsidRDefault="00531281" w:rsidP="00531281">
            <w:pPr>
              <w:jc w:val="both"/>
              <w:rPr>
                <w:rFonts w:ascii="Arial" w:hAnsi="Arial" w:cs="Arial"/>
                <w:sz w:val="24"/>
                <w:lang w:val="en-US"/>
              </w:rPr>
            </w:pPr>
            <w:proofErr w:type="gramStart"/>
            <w:r w:rsidRPr="00C64041">
              <w:rPr>
                <w:rFonts w:ascii="Arial" w:hAnsi="Arial" w:cs="Arial"/>
                <w:b/>
                <w:bCs/>
                <w:sz w:val="24"/>
                <w:lang w:val="en-US"/>
              </w:rPr>
              <w:t>WHEREAS,</w:t>
            </w:r>
            <w:proofErr w:type="gramEnd"/>
            <w:r w:rsidRPr="00C64041">
              <w:rPr>
                <w:rFonts w:ascii="Arial" w:hAnsi="Arial" w:cs="Arial"/>
                <w:b/>
                <w:bCs/>
                <w:sz w:val="24"/>
                <w:lang w:val="en-US"/>
              </w:rPr>
              <w:t xml:space="preserve"> </w:t>
            </w:r>
            <w:r w:rsidRPr="00C64041">
              <w:rPr>
                <w:rFonts w:ascii="Arial" w:hAnsi="Arial" w:cs="Arial"/>
                <w:sz w:val="24"/>
                <w:lang w:val="en-US"/>
              </w:rPr>
              <w:t xml:space="preserve">Chapter VII of the RE Act provides incentives for RE projects, activities, and its commercialization, and establishes the framework for </w:t>
            </w:r>
            <w:proofErr w:type="spellStart"/>
            <w:r w:rsidRPr="00C64041">
              <w:rPr>
                <w:rFonts w:ascii="Arial" w:hAnsi="Arial" w:cs="Arial"/>
                <w:sz w:val="24"/>
                <w:lang w:val="en-US"/>
              </w:rPr>
              <w:t>availment</w:t>
            </w:r>
            <w:proofErr w:type="spellEnd"/>
            <w:r w:rsidRPr="00C64041">
              <w:rPr>
                <w:rFonts w:ascii="Arial" w:hAnsi="Arial" w:cs="Arial"/>
                <w:sz w:val="24"/>
                <w:lang w:val="en-US"/>
              </w:rPr>
              <w:t xml:space="preserve"> thereof by RE developers;</w:t>
            </w:r>
          </w:p>
          <w:p w14:paraId="120C8D29" w14:textId="02DA397B" w:rsidR="00FD111F" w:rsidRPr="00531281" w:rsidRDefault="00FD111F" w:rsidP="7DB4BAA9">
            <w:pPr>
              <w:jc w:val="both"/>
              <w:rPr>
                <w:rFonts w:ascii="Arial" w:hAnsi="Arial" w:cs="Arial"/>
                <w:color w:val="FF0000"/>
                <w:sz w:val="24"/>
                <w:szCs w:val="24"/>
                <w:lang w:val="en-US"/>
              </w:rPr>
            </w:pPr>
          </w:p>
        </w:tc>
        <w:tc>
          <w:tcPr>
            <w:tcW w:w="4255" w:type="dxa"/>
          </w:tcPr>
          <w:p w14:paraId="06901A97" w14:textId="77777777" w:rsidR="00E85B0B" w:rsidRPr="003557F9" w:rsidRDefault="00E85B0B" w:rsidP="00040EFE">
            <w:pPr>
              <w:jc w:val="center"/>
              <w:rPr>
                <w:rFonts w:ascii="Arial" w:hAnsi="Arial" w:cs="Arial"/>
                <w:b/>
                <w:bCs/>
                <w:sz w:val="24"/>
                <w:szCs w:val="24"/>
              </w:rPr>
            </w:pPr>
          </w:p>
        </w:tc>
        <w:tc>
          <w:tcPr>
            <w:tcW w:w="3683" w:type="dxa"/>
          </w:tcPr>
          <w:p w14:paraId="6158CB46" w14:textId="77777777" w:rsidR="00E85B0B" w:rsidRPr="003557F9" w:rsidRDefault="00E85B0B" w:rsidP="00040EFE">
            <w:pPr>
              <w:jc w:val="center"/>
              <w:rPr>
                <w:rFonts w:ascii="Arial" w:hAnsi="Arial" w:cs="Arial"/>
                <w:b/>
                <w:bCs/>
                <w:sz w:val="24"/>
                <w:szCs w:val="24"/>
              </w:rPr>
            </w:pPr>
          </w:p>
        </w:tc>
      </w:tr>
      <w:tr w:rsidR="007633D2" w:rsidRPr="003557F9" w14:paraId="4606479A" w14:textId="77777777" w:rsidTr="7DB4BAA9">
        <w:trPr>
          <w:trHeight w:val="1811"/>
          <w:tblHeader/>
        </w:trPr>
        <w:tc>
          <w:tcPr>
            <w:tcW w:w="6799" w:type="dxa"/>
          </w:tcPr>
          <w:p w14:paraId="1E79A8AF" w14:textId="77777777" w:rsidR="00531281" w:rsidRPr="00C64041" w:rsidRDefault="00531281" w:rsidP="00531281">
            <w:pPr>
              <w:jc w:val="both"/>
              <w:rPr>
                <w:rFonts w:ascii="Arial" w:hAnsi="Arial" w:cs="Arial"/>
                <w:sz w:val="24"/>
                <w:lang w:val="en-US"/>
              </w:rPr>
            </w:pPr>
            <w:r w:rsidRPr="00C64041">
              <w:rPr>
                <w:rFonts w:ascii="Arial" w:hAnsi="Arial" w:cs="Arial"/>
                <w:b/>
                <w:bCs/>
                <w:sz w:val="24"/>
                <w:lang w:val="en-US"/>
              </w:rPr>
              <w:t xml:space="preserve">WHEREAS, </w:t>
            </w:r>
            <w:r w:rsidRPr="00C64041">
              <w:rPr>
                <w:rFonts w:ascii="Arial" w:hAnsi="Arial" w:cs="Arial"/>
                <w:sz w:val="24"/>
                <w:lang w:val="en-US"/>
              </w:rPr>
              <w:t>pursuant to Section 33 of the RE Act, the DOE issued Department Circular (DC) No. DC2009-05-0008, otherwise known as the “Rules and Regulations Implementing Republic Act No. 9513” (RE Act IRR</w:t>
            </w:r>
            <w:proofErr w:type="gramStart"/>
            <w:r w:rsidRPr="00C64041">
              <w:rPr>
                <w:rFonts w:ascii="Arial" w:hAnsi="Arial" w:cs="Arial"/>
                <w:sz w:val="24"/>
                <w:lang w:val="en-US"/>
              </w:rPr>
              <w:t>);</w:t>
            </w:r>
            <w:proofErr w:type="gramEnd"/>
          </w:p>
          <w:p w14:paraId="0473989A" w14:textId="3E37A8F0" w:rsidR="007633D2" w:rsidRPr="00531281" w:rsidRDefault="007633D2" w:rsidP="7DB4BAA9">
            <w:pPr>
              <w:jc w:val="both"/>
              <w:rPr>
                <w:rFonts w:ascii="Arial" w:hAnsi="Arial" w:cs="Arial"/>
                <w:color w:val="FF0000"/>
                <w:sz w:val="24"/>
                <w:szCs w:val="24"/>
                <w:lang w:val="en-US"/>
              </w:rPr>
            </w:pPr>
          </w:p>
        </w:tc>
        <w:tc>
          <w:tcPr>
            <w:tcW w:w="4255" w:type="dxa"/>
          </w:tcPr>
          <w:p w14:paraId="61B2052F" w14:textId="77777777" w:rsidR="007633D2" w:rsidRPr="003557F9" w:rsidRDefault="007633D2" w:rsidP="00040EFE">
            <w:pPr>
              <w:jc w:val="center"/>
              <w:rPr>
                <w:rFonts w:ascii="Arial" w:hAnsi="Arial" w:cs="Arial"/>
                <w:b/>
                <w:bCs/>
                <w:sz w:val="24"/>
                <w:szCs w:val="24"/>
              </w:rPr>
            </w:pPr>
          </w:p>
        </w:tc>
        <w:tc>
          <w:tcPr>
            <w:tcW w:w="3683" w:type="dxa"/>
          </w:tcPr>
          <w:p w14:paraId="057DCBF6" w14:textId="77777777" w:rsidR="007633D2" w:rsidRPr="003557F9" w:rsidRDefault="007633D2" w:rsidP="00040EFE">
            <w:pPr>
              <w:jc w:val="center"/>
              <w:rPr>
                <w:rFonts w:ascii="Arial" w:hAnsi="Arial" w:cs="Arial"/>
                <w:b/>
                <w:bCs/>
                <w:sz w:val="24"/>
                <w:szCs w:val="24"/>
              </w:rPr>
            </w:pPr>
          </w:p>
        </w:tc>
      </w:tr>
      <w:tr w:rsidR="00531281" w:rsidRPr="00531281" w14:paraId="0C67F749" w14:textId="77777777" w:rsidTr="008F428F">
        <w:trPr>
          <w:trHeight w:val="1129"/>
          <w:tblHeader/>
        </w:trPr>
        <w:tc>
          <w:tcPr>
            <w:tcW w:w="6799" w:type="dxa"/>
          </w:tcPr>
          <w:p w14:paraId="641E0EAD" w14:textId="77777777" w:rsidR="00531281" w:rsidRPr="00C64041" w:rsidRDefault="00531281" w:rsidP="00531281">
            <w:pPr>
              <w:jc w:val="both"/>
              <w:rPr>
                <w:rFonts w:ascii="Arial" w:hAnsi="Arial" w:cs="Arial"/>
                <w:sz w:val="24"/>
                <w:lang w:val="en-US"/>
              </w:rPr>
            </w:pPr>
            <w:proofErr w:type="gramStart"/>
            <w:r w:rsidRPr="00C64041">
              <w:rPr>
                <w:rFonts w:ascii="Arial" w:hAnsi="Arial" w:cs="Arial"/>
                <w:b/>
                <w:bCs/>
                <w:sz w:val="24"/>
                <w:lang w:val="en-US"/>
              </w:rPr>
              <w:lastRenderedPageBreak/>
              <w:t>WHEREAS,</w:t>
            </w:r>
            <w:proofErr w:type="gramEnd"/>
            <w:r w:rsidRPr="00C64041">
              <w:rPr>
                <w:rFonts w:ascii="Arial" w:hAnsi="Arial" w:cs="Arial"/>
                <w:b/>
                <w:bCs/>
                <w:sz w:val="24"/>
                <w:lang w:val="en-US"/>
              </w:rPr>
              <w:t xml:space="preserve"> </w:t>
            </w:r>
            <w:r w:rsidRPr="00C64041">
              <w:rPr>
                <w:rFonts w:ascii="Arial" w:hAnsi="Arial" w:cs="Arial"/>
                <w:sz w:val="24"/>
                <w:lang w:val="en-US"/>
              </w:rPr>
              <w:t>there is a need to streamline and rationalize the conditions to avail of the RE Act incentives provided under the RE Act IRR;</w:t>
            </w:r>
          </w:p>
          <w:p w14:paraId="6F19638E" w14:textId="35A8D00A" w:rsidR="00CE4CAD" w:rsidRPr="00531281" w:rsidRDefault="00CE4CAD" w:rsidP="7DB4BAA9">
            <w:pPr>
              <w:jc w:val="both"/>
              <w:rPr>
                <w:rFonts w:ascii="Arial" w:hAnsi="Arial" w:cs="Arial"/>
                <w:color w:val="FF0000"/>
                <w:sz w:val="24"/>
                <w:szCs w:val="24"/>
                <w:lang w:val="en-US"/>
              </w:rPr>
            </w:pPr>
          </w:p>
        </w:tc>
        <w:tc>
          <w:tcPr>
            <w:tcW w:w="4255" w:type="dxa"/>
          </w:tcPr>
          <w:p w14:paraId="3C0D3C17" w14:textId="77777777" w:rsidR="003E3602" w:rsidRPr="00531281" w:rsidRDefault="003E3602" w:rsidP="00040EFE">
            <w:pPr>
              <w:jc w:val="center"/>
              <w:rPr>
                <w:rFonts w:ascii="Arial" w:hAnsi="Arial" w:cs="Arial"/>
                <w:b/>
                <w:bCs/>
                <w:color w:val="FF0000"/>
                <w:sz w:val="24"/>
                <w:szCs w:val="24"/>
              </w:rPr>
            </w:pPr>
          </w:p>
        </w:tc>
        <w:tc>
          <w:tcPr>
            <w:tcW w:w="3683" w:type="dxa"/>
          </w:tcPr>
          <w:p w14:paraId="62C721C9" w14:textId="77777777" w:rsidR="003E3602" w:rsidRPr="00531281" w:rsidRDefault="003E3602" w:rsidP="00040EFE">
            <w:pPr>
              <w:jc w:val="center"/>
              <w:rPr>
                <w:rFonts w:ascii="Arial" w:hAnsi="Arial" w:cs="Arial"/>
                <w:b/>
                <w:bCs/>
                <w:color w:val="FF0000"/>
                <w:sz w:val="24"/>
                <w:szCs w:val="24"/>
              </w:rPr>
            </w:pPr>
          </w:p>
        </w:tc>
      </w:tr>
      <w:tr w:rsidR="00531281" w:rsidRPr="00531281" w14:paraId="5A92C0A1" w14:textId="77777777" w:rsidTr="008F428F">
        <w:trPr>
          <w:trHeight w:val="1116"/>
          <w:tblHeader/>
        </w:trPr>
        <w:tc>
          <w:tcPr>
            <w:tcW w:w="6799" w:type="dxa"/>
          </w:tcPr>
          <w:p w14:paraId="4916B189" w14:textId="77777777" w:rsidR="00531281" w:rsidRPr="00C64041" w:rsidRDefault="00531281" w:rsidP="00531281">
            <w:pPr>
              <w:jc w:val="both"/>
              <w:rPr>
                <w:rFonts w:ascii="Arial" w:hAnsi="Arial" w:cs="Arial"/>
                <w:sz w:val="24"/>
              </w:rPr>
            </w:pPr>
            <w:r w:rsidRPr="00C64041">
              <w:rPr>
                <w:rFonts w:ascii="Arial" w:hAnsi="Arial" w:cs="Arial"/>
                <w:b/>
                <w:bCs/>
                <w:sz w:val="24"/>
                <w:lang w:val="en-US"/>
              </w:rPr>
              <w:t xml:space="preserve">NOW, THEREFORE, </w:t>
            </w:r>
            <w:r w:rsidRPr="00C64041">
              <w:rPr>
                <w:rFonts w:ascii="Arial" w:hAnsi="Arial" w:cs="Arial"/>
                <w:sz w:val="24"/>
              </w:rPr>
              <w:t xml:space="preserve">in consideration of the foregoing premises, the DOE hereby issues the following amendments to </w:t>
            </w:r>
            <w:r w:rsidRPr="00C64041">
              <w:rPr>
                <w:rFonts w:ascii="Arial" w:hAnsi="Arial" w:cs="Arial"/>
                <w:sz w:val="24"/>
                <w:lang w:val="en-US"/>
              </w:rPr>
              <w:t>the RE Act IRR</w:t>
            </w:r>
            <w:r w:rsidRPr="00C64041">
              <w:rPr>
                <w:rFonts w:ascii="Arial" w:hAnsi="Arial" w:cs="Arial"/>
                <w:sz w:val="24"/>
              </w:rPr>
              <w:t>:</w:t>
            </w:r>
          </w:p>
          <w:p w14:paraId="06A5A88B" w14:textId="77777777" w:rsidR="00531281" w:rsidRPr="00C64041" w:rsidRDefault="00531281" w:rsidP="00531281">
            <w:pPr>
              <w:jc w:val="both"/>
              <w:rPr>
                <w:rFonts w:ascii="Arial" w:hAnsi="Arial" w:cs="Arial"/>
                <w:sz w:val="24"/>
              </w:rPr>
            </w:pPr>
          </w:p>
          <w:p w14:paraId="1C3F92D2" w14:textId="77777777" w:rsidR="00531281" w:rsidRPr="00C64041" w:rsidRDefault="00531281" w:rsidP="0053128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360" w:firstLine="0"/>
              <w:contextualSpacing/>
              <w:jc w:val="both"/>
              <w:rPr>
                <w:rFonts w:ascii="Arial" w:hAnsi="Arial" w:cs="Arial"/>
              </w:rPr>
            </w:pPr>
            <w:r w:rsidRPr="00C64041">
              <w:rPr>
                <w:rFonts w:ascii="Arial" w:hAnsi="Arial" w:cs="Arial"/>
                <w:i/>
                <w:iCs/>
              </w:rPr>
              <w:t xml:space="preserve">Definition of </w:t>
            </w:r>
            <w:proofErr w:type="gramStart"/>
            <w:r w:rsidRPr="00C64041">
              <w:rPr>
                <w:rFonts w:ascii="Arial" w:hAnsi="Arial" w:cs="Arial"/>
                <w:i/>
                <w:iCs/>
              </w:rPr>
              <w:t>Terms.—</w:t>
            </w:r>
            <w:proofErr w:type="gramEnd"/>
            <w:r w:rsidRPr="00C64041">
              <w:rPr>
                <w:rFonts w:ascii="Arial" w:hAnsi="Arial" w:cs="Arial"/>
              </w:rPr>
              <w:t xml:space="preserve"> As used in the Act and this IRR, </w:t>
            </w:r>
            <w:r w:rsidRPr="00C64041">
              <w:rPr>
                <w:rFonts w:ascii="Arial" w:hAnsi="Arial" w:cs="Arial"/>
                <w:u w:val="single"/>
              </w:rPr>
              <w:t>the terms below</w:t>
            </w:r>
            <w:r w:rsidRPr="00C64041">
              <w:rPr>
                <w:rFonts w:ascii="Arial" w:hAnsi="Arial" w:cs="Arial"/>
              </w:rPr>
              <w:t xml:space="preserve"> shall be defined as follows:</w:t>
            </w:r>
          </w:p>
          <w:p w14:paraId="4DF05037" w14:textId="77777777" w:rsidR="00531281" w:rsidRPr="00C64041" w:rsidRDefault="00531281" w:rsidP="00531281">
            <w:pPr>
              <w:pStyle w:val="ListParagraph"/>
              <w:tabs>
                <w:tab w:val="left" w:pos="1560"/>
              </w:tabs>
              <w:jc w:val="both"/>
              <w:rPr>
                <w:rFonts w:ascii="Arial" w:hAnsi="Arial" w:cs="Arial"/>
                <w:i/>
                <w:iCs/>
              </w:rPr>
            </w:pPr>
          </w:p>
          <w:p w14:paraId="1742243A" w14:textId="77777777" w:rsidR="00531281" w:rsidRPr="00C64041" w:rsidRDefault="00531281" w:rsidP="0053128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C64041">
              <w:rPr>
                <w:rFonts w:ascii="Arial" w:hAnsi="Arial" w:cs="Arial"/>
                <w:u w:val="single"/>
              </w:rPr>
              <w:t xml:space="preserve">“Certificate of Authority” or “COA” refers to a pre-RE Contract certificate signed by the DOE Secretary authorizing an RE Developer to procure the necessary permits and tenurial instruments for the exploration, development, construction and installation, and commercial operation of the RE Project and conduct reconnaissance and other activities needed for pre-feasibility </w:t>
            </w:r>
            <w:proofErr w:type="gramStart"/>
            <w:r w:rsidRPr="00C64041">
              <w:rPr>
                <w:rFonts w:ascii="Arial" w:hAnsi="Arial" w:cs="Arial"/>
                <w:u w:val="single"/>
              </w:rPr>
              <w:t>studies</w:t>
            </w:r>
            <w:r w:rsidRPr="00C64041">
              <w:rPr>
                <w:rFonts w:ascii="Arial" w:hAnsi="Arial" w:cs="Arial"/>
              </w:rPr>
              <w:t>;</w:t>
            </w:r>
            <w:proofErr w:type="gramEnd"/>
          </w:p>
          <w:p w14:paraId="373AAE16" w14:textId="5DC5D1DA" w:rsidR="00CE4CAD" w:rsidRPr="00531281" w:rsidRDefault="00CE4CAD" w:rsidP="7DB4BAA9">
            <w:pPr>
              <w:jc w:val="both"/>
              <w:rPr>
                <w:rFonts w:ascii="Arial" w:hAnsi="Arial" w:cs="Arial"/>
                <w:color w:val="FF0000"/>
                <w:sz w:val="24"/>
                <w:szCs w:val="24"/>
                <w:lang w:val="en-US"/>
              </w:rPr>
            </w:pPr>
          </w:p>
        </w:tc>
        <w:tc>
          <w:tcPr>
            <w:tcW w:w="4255" w:type="dxa"/>
          </w:tcPr>
          <w:p w14:paraId="613542CE" w14:textId="77777777" w:rsidR="003E3602" w:rsidRPr="00531281" w:rsidRDefault="003E3602" w:rsidP="00040EFE">
            <w:pPr>
              <w:jc w:val="center"/>
              <w:rPr>
                <w:rFonts w:ascii="Arial" w:hAnsi="Arial" w:cs="Arial"/>
                <w:b/>
                <w:bCs/>
                <w:color w:val="FF0000"/>
                <w:sz w:val="24"/>
                <w:szCs w:val="24"/>
              </w:rPr>
            </w:pPr>
          </w:p>
        </w:tc>
        <w:tc>
          <w:tcPr>
            <w:tcW w:w="3683" w:type="dxa"/>
          </w:tcPr>
          <w:p w14:paraId="5350B73F" w14:textId="77777777" w:rsidR="003E3602" w:rsidRPr="00531281" w:rsidRDefault="003E3602" w:rsidP="00040EFE">
            <w:pPr>
              <w:jc w:val="center"/>
              <w:rPr>
                <w:rFonts w:ascii="Arial" w:hAnsi="Arial" w:cs="Arial"/>
                <w:b/>
                <w:bCs/>
                <w:color w:val="FF0000"/>
                <w:sz w:val="24"/>
                <w:szCs w:val="24"/>
              </w:rPr>
            </w:pPr>
          </w:p>
        </w:tc>
      </w:tr>
      <w:tr w:rsidR="00531281" w:rsidRPr="00531281" w14:paraId="39CC7D9F" w14:textId="77777777" w:rsidTr="7DB4BAA9">
        <w:trPr>
          <w:trHeight w:val="2117"/>
          <w:tblHeader/>
        </w:trPr>
        <w:tc>
          <w:tcPr>
            <w:tcW w:w="6799" w:type="dxa"/>
          </w:tcPr>
          <w:p w14:paraId="66E5F140" w14:textId="77777777" w:rsidR="00531281" w:rsidRPr="00C64041" w:rsidRDefault="00531281" w:rsidP="0053128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C64041">
              <w:rPr>
                <w:rFonts w:ascii="Arial" w:hAnsi="Arial" w:cs="Arial"/>
                <w:u w:val="single"/>
              </w:rPr>
              <w:t xml:space="preserve">“Energy Storage System” or “ESS” refers to a facility capable of absorbing energy directly from the Grid or Distribution System, or from an RE Plant or from a Conventional Plant connected to the Grid or Distribution System and storing it for </w:t>
            </w:r>
            <w:proofErr w:type="gramStart"/>
            <w:r w:rsidRPr="00C64041">
              <w:rPr>
                <w:rFonts w:ascii="Arial" w:hAnsi="Arial" w:cs="Arial"/>
                <w:u w:val="single"/>
              </w:rPr>
              <w:t>a time period</w:t>
            </w:r>
            <w:proofErr w:type="gramEnd"/>
            <w:r w:rsidRPr="00C64041">
              <w:rPr>
                <w:rFonts w:ascii="Arial" w:hAnsi="Arial" w:cs="Arial"/>
                <w:u w:val="single"/>
              </w:rPr>
              <w:t xml:space="preserve">, and injecting stored energy when prompted, needed to ensure reliability and balanced power system. ESS technologies, but shall not be limited to, Battery Energy Storage System (BESS), Compressed Air Energy Storage (CAES), Flywheel Energy Storage (FES), and Pumped-Storage </w:t>
            </w:r>
            <w:proofErr w:type="gramStart"/>
            <w:r w:rsidRPr="00C64041">
              <w:rPr>
                <w:rFonts w:ascii="Arial" w:hAnsi="Arial" w:cs="Arial"/>
                <w:u w:val="single"/>
              </w:rPr>
              <w:t>Hydropower;</w:t>
            </w:r>
            <w:proofErr w:type="gramEnd"/>
            <w:r w:rsidRPr="00C64041" w:rsidDel="00A16A31">
              <w:rPr>
                <w:rFonts w:ascii="Arial" w:hAnsi="Arial" w:cs="Arial"/>
                <w:u w:val="single"/>
              </w:rPr>
              <w:t xml:space="preserve"> </w:t>
            </w:r>
          </w:p>
          <w:p w14:paraId="1839523E" w14:textId="35742E0D" w:rsidR="00CE4CAD" w:rsidRPr="00531281" w:rsidRDefault="00425FB3" w:rsidP="00BB275B">
            <w:pPr>
              <w:ind w:left="731" w:right="594"/>
              <w:jc w:val="both"/>
              <w:rPr>
                <w:rFonts w:ascii="Arial" w:hAnsi="Arial" w:cs="Arial"/>
                <w:b/>
                <w:bCs/>
                <w:color w:val="FF0000"/>
                <w:sz w:val="24"/>
                <w:szCs w:val="24"/>
              </w:rPr>
            </w:pPr>
            <w:r w:rsidRPr="00531281">
              <w:rPr>
                <w:rFonts w:ascii="Arial" w:hAnsi="Arial" w:cs="Arial"/>
                <w:bCs/>
                <w:color w:val="FF0000"/>
                <w:sz w:val="24"/>
                <w:szCs w:val="24"/>
              </w:rPr>
              <w:t xml:space="preserve">  </w:t>
            </w:r>
          </w:p>
        </w:tc>
        <w:tc>
          <w:tcPr>
            <w:tcW w:w="4255" w:type="dxa"/>
          </w:tcPr>
          <w:p w14:paraId="6A14C201" w14:textId="77777777" w:rsidR="003E3602" w:rsidRPr="00531281" w:rsidRDefault="003E3602" w:rsidP="00040EFE">
            <w:pPr>
              <w:jc w:val="center"/>
              <w:rPr>
                <w:rFonts w:ascii="Arial" w:hAnsi="Arial" w:cs="Arial"/>
                <w:b/>
                <w:bCs/>
                <w:color w:val="FF0000"/>
                <w:sz w:val="24"/>
                <w:szCs w:val="24"/>
              </w:rPr>
            </w:pPr>
          </w:p>
        </w:tc>
        <w:tc>
          <w:tcPr>
            <w:tcW w:w="3683" w:type="dxa"/>
          </w:tcPr>
          <w:p w14:paraId="39638405" w14:textId="77777777" w:rsidR="003E3602" w:rsidRPr="00531281" w:rsidRDefault="003E3602" w:rsidP="00040EFE">
            <w:pPr>
              <w:jc w:val="center"/>
              <w:rPr>
                <w:rFonts w:ascii="Arial" w:hAnsi="Arial" w:cs="Arial"/>
                <w:b/>
                <w:bCs/>
                <w:color w:val="FF0000"/>
                <w:sz w:val="24"/>
                <w:szCs w:val="24"/>
              </w:rPr>
            </w:pPr>
          </w:p>
        </w:tc>
      </w:tr>
      <w:tr w:rsidR="00531281" w:rsidRPr="00531281" w14:paraId="3A4875DD" w14:textId="77777777" w:rsidTr="00CE4CAD">
        <w:trPr>
          <w:trHeight w:val="677"/>
          <w:tblHeader/>
        </w:trPr>
        <w:tc>
          <w:tcPr>
            <w:tcW w:w="6799" w:type="dxa"/>
          </w:tcPr>
          <w:p w14:paraId="1DA0F177" w14:textId="77777777" w:rsidR="00531281" w:rsidRPr="00C64041" w:rsidRDefault="00531281" w:rsidP="0053128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C64041">
              <w:rPr>
                <w:rFonts w:ascii="Arial" w:hAnsi="Arial" w:cs="Arial"/>
                <w:u w:val="single"/>
              </w:rPr>
              <w:lastRenderedPageBreak/>
              <w:t>“Integrated RE Plant and ESS” or “IRESS” refers to a combination of RE Plant/s and ESS that is solely charged by the RE Plant/</w:t>
            </w:r>
            <w:proofErr w:type="gramStart"/>
            <w:r w:rsidRPr="00C64041">
              <w:rPr>
                <w:rFonts w:ascii="Arial" w:hAnsi="Arial" w:cs="Arial"/>
                <w:u w:val="single"/>
              </w:rPr>
              <w:t>s;</w:t>
            </w:r>
            <w:proofErr w:type="gramEnd"/>
            <w:r w:rsidRPr="00C64041" w:rsidDel="00A16A31">
              <w:rPr>
                <w:rFonts w:ascii="Arial" w:hAnsi="Arial" w:cs="Arial"/>
                <w:u w:val="single"/>
              </w:rPr>
              <w:t xml:space="preserve"> </w:t>
            </w:r>
          </w:p>
          <w:p w14:paraId="5BA40793" w14:textId="754971D5" w:rsidR="003E3602" w:rsidRPr="00531281" w:rsidRDefault="003E3602" w:rsidP="008F428F">
            <w:pPr>
              <w:pStyle w:val="p2"/>
              <w:tabs>
                <w:tab w:val="left" w:pos="284"/>
                <w:tab w:val="left" w:pos="567"/>
                <w:tab w:val="left" w:pos="851"/>
                <w:tab w:val="left" w:pos="1134"/>
              </w:tabs>
              <w:jc w:val="both"/>
              <w:rPr>
                <w:rFonts w:ascii="Arial" w:hAnsi="Arial" w:cs="Arial"/>
                <w:color w:val="FF0000"/>
                <w:sz w:val="24"/>
                <w:szCs w:val="24"/>
              </w:rPr>
            </w:pPr>
          </w:p>
        </w:tc>
        <w:tc>
          <w:tcPr>
            <w:tcW w:w="4255" w:type="dxa"/>
          </w:tcPr>
          <w:p w14:paraId="3EC38771" w14:textId="77777777" w:rsidR="003E3602" w:rsidRPr="00531281" w:rsidRDefault="003E3602" w:rsidP="00040EFE">
            <w:pPr>
              <w:jc w:val="center"/>
              <w:rPr>
                <w:rFonts w:ascii="Arial" w:hAnsi="Arial" w:cs="Arial"/>
                <w:b/>
                <w:bCs/>
                <w:color w:val="FF0000"/>
                <w:sz w:val="24"/>
                <w:szCs w:val="24"/>
              </w:rPr>
            </w:pPr>
          </w:p>
        </w:tc>
        <w:tc>
          <w:tcPr>
            <w:tcW w:w="3683" w:type="dxa"/>
          </w:tcPr>
          <w:p w14:paraId="6E2FC93F" w14:textId="77777777" w:rsidR="003E3602" w:rsidRPr="00531281" w:rsidRDefault="003E3602" w:rsidP="00040EFE">
            <w:pPr>
              <w:jc w:val="center"/>
              <w:rPr>
                <w:rFonts w:ascii="Arial" w:hAnsi="Arial" w:cs="Arial"/>
                <w:b/>
                <w:bCs/>
                <w:color w:val="FF0000"/>
                <w:sz w:val="24"/>
                <w:szCs w:val="24"/>
              </w:rPr>
            </w:pPr>
          </w:p>
        </w:tc>
      </w:tr>
      <w:tr w:rsidR="00531281" w:rsidRPr="00531281" w14:paraId="15925A20" w14:textId="77777777" w:rsidTr="7DB4BAA9">
        <w:trPr>
          <w:trHeight w:val="1015"/>
          <w:tblHeader/>
        </w:trPr>
        <w:tc>
          <w:tcPr>
            <w:tcW w:w="6799" w:type="dxa"/>
          </w:tcPr>
          <w:p w14:paraId="1F7E3AFC" w14:textId="77777777" w:rsidR="00531281" w:rsidRPr="00C64041" w:rsidRDefault="00531281" w:rsidP="0053128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C64041">
              <w:rPr>
                <w:rFonts w:ascii="Arial" w:hAnsi="Arial" w:cs="Arial"/>
                <w:u w:val="single"/>
              </w:rPr>
              <w:t>“Emerging RE Technologies” refers to innovative technologies that harness RE resources which are typically in the early stages of development or adoption and often offer novel solutions to enhance efficiency, reduce costs, promote sustainability, and address specific challenges within the RE sector such as, but not limited to: advanced solar photovoltaics (PV) with higher efficiency and lower costs, next-generation wind turbines designed for improved performance and reliability, tidal and wave energy converters, innovative biomass conversion processes, advanced energy storage technologies such as flow batteries and green hydrogen storage systems, bioenergy solutions, and Enhanced Geothermal Systems (EGS), which enables the extraction of geothermal energy from resources that were previously considered uneconomical or inaccessible;</w:t>
            </w:r>
          </w:p>
          <w:p w14:paraId="19564052" w14:textId="6F9E9526" w:rsidR="00C4141D" w:rsidRPr="00531281" w:rsidRDefault="00C4141D" w:rsidP="00C4141D">
            <w:pPr>
              <w:ind w:left="734" w:right="601"/>
              <w:jc w:val="both"/>
              <w:rPr>
                <w:rFonts w:ascii="Arial" w:hAnsi="Arial" w:cs="Arial"/>
                <w:color w:val="FF0000"/>
                <w:sz w:val="24"/>
                <w:szCs w:val="24"/>
                <w:lang w:val="en-US"/>
              </w:rPr>
            </w:pPr>
          </w:p>
        </w:tc>
        <w:tc>
          <w:tcPr>
            <w:tcW w:w="4255" w:type="dxa"/>
          </w:tcPr>
          <w:p w14:paraId="1CEE3733" w14:textId="77777777" w:rsidR="003E3602" w:rsidRPr="00531281" w:rsidRDefault="003E3602" w:rsidP="00040EFE">
            <w:pPr>
              <w:jc w:val="center"/>
              <w:rPr>
                <w:rFonts w:ascii="Arial" w:hAnsi="Arial" w:cs="Arial"/>
                <w:b/>
                <w:bCs/>
                <w:color w:val="FF0000"/>
                <w:sz w:val="24"/>
                <w:szCs w:val="24"/>
              </w:rPr>
            </w:pPr>
          </w:p>
        </w:tc>
        <w:tc>
          <w:tcPr>
            <w:tcW w:w="3683" w:type="dxa"/>
          </w:tcPr>
          <w:p w14:paraId="79C855D9" w14:textId="77777777" w:rsidR="003E3602" w:rsidRPr="00531281" w:rsidRDefault="003E3602" w:rsidP="00040EFE">
            <w:pPr>
              <w:jc w:val="center"/>
              <w:rPr>
                <w:rFonts w:ascii="Arial" w:hAnsi="Arial" w:cs="Arial"/>
                <w:b/>
                <w:bCs/>
                <w:color w:val="FF0000"/>
                <w:sz w:val="24"/>
                <w:szCs w:val="24"/>
              </w:rPr>
            </w:pPr>
          </w:p>
        </w:tc>
      </w:tr>
      <w:tr w:rsidR="00531281" w:rsidRPr="00531281" w14:paraId="4E7C6C1D" w14:textId="77777777" w:rsidTr="008F428F">
        <w:trPr>
          <w:trHeight w:val="3134"/>
          <w:tblHeader/>
        </w:trPr>
        <w:tc>
          <w:tcPr>
            <w:tcW w:w="6799" w:type="dxa"/>
          </w:tcPr>
          <w:p w14:paraId="62153DEE" w14:textId="77777777" w:rsidR="00531281" w:rsidRPr="00C64041" w:rsidRDefault="00531281" w:rsidP="0053128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360" w:firstLine="0"/>
              <w:contextualSpacing/>
              <w:jc w:val="both"/>
              <w:rPr>
                <w:rFonts w:ascii="Arial" w:hAnsi="Arial" w:cs="Arial"/>
              </w:rPr>
            </w:pPr>
            <w:r w:rsidRPr="00C64041">
              <w:rPr>
                <w:rFonts w:ascii="Arial" w:hAnsi="Arial" w:cs="Arial"/>
              </w:rPr>
              <w:lastRenderedPageBreak/>
              <w:t>Section 13 of the RE Act IRR, as amended, is hereby further amended to read as follows:</w:t>
            </w:r>
          </w:p>
          <w:p w14:paraId="63F5C62D" w14:textId="77777777" w:rsidR="00531281" w:rsidRPr="00C64041" w:rsidRDefault="00531281" w:rsidP="00531281">
            <w:pPr>
              <w:tabs>
                <w:tab w:val="left" w:pos="1560"/>
              </w:tabs>
              <w:jc w:val="both"/>
              <w:rPr>
                <w:rFonts w:ascii="Arial" w:hAnsi="Arial" w:cs="Arial"/>
                <w:sz w:val="24"/>
                <w:lang w:val="en-US"/>
              </w:rPr>
            </w:pPr>
          </w:p>
          <w:p w14:paraId="66C089B5" w14:textId="77777777" w:rsidR="00531281" w:rsidRPr="00C64041" w:rsidRDefault="00531281" w:rsidP="00531281">
            <w:pPr>
              <w:tabs>
                <w:tab w:val="left" w:pos="709"/>
              </w:tabs>
              <w:ind w:left="709"/>
              <w:jc w:val="both"/>
              <w:rPr>
                <w:rFonts w:ascii="Arial" w:hAnsi="Arial" w:cs="Arial"/>
                <w:sz w:val="24"/>
                <w:lang w:val="en-US"/>
              </w:rPr>
            </w:pPr>
            <w:r w:rsidRPr="00C64041">
              <w:rPr>
                <w:rFonts w:ascii="Arial" w:hAnsi="Arial" w:cs="Arial"/>
                <w:sz w:val="24"/>
                <w:lang w:val="en-US"/>
              </w:rPr>
              <w:t xml:space="preserve">SEC. </w:t>
            </w:r>
            <w:proofErr w:type="gramStart"/>
            <w:r w:rsidRPr="00C64041">
              <w:rPr>
                <w:rFonts w:ascii="Arial" w:hAnsi="Arial" w:cs="Arial"/>
                <w:sz w:val="24"/>
                <w:lang w:val="en-US"/>
              </w:rPr>
              <w:t>13.Fiscal</w:t>
            </w:r>
            <w:proofErr w:type="gramEnd"/>
            <w:r w:rsidRPr="00C64041">
              <w:rPr>
                <w:rFonts w:ascii="Arial" w:hAnsi="Arial" w:cs="Arial"/>
                <w:sz w:val="24"/>
                <w:lang w:val="en-US"/>
              </w:rPr>
              <w:t xml:space="preserve"> Incentives for Renewable Energy Projects and Activities</w:t>
            </w:r>
            <w:r w:rsidRPr="00C64041">
              <w:rPr>
                <w:rFonts w:ascii="Arial" w:hAnsi="Arial" w:cs="Arial"/>
                <w:sz w:val="24"/>
                <w:lang w:val="en-US"/>
              </w:rPr>
              <w:tab/>
            </w:r>
          </w:p>
          <w:p w14:paraId="036FCB09" w14:textId="77777777" w:rsidR="00531281" w:rsidRPr="00C64041" w:rsidRDefault="00531281" w:rsidP="00531281">
            <w:pPr>
              <w:tabs>
                <w:tab w:val="left" w:pos="709"/>
              </w:tabs>
              <w:ind w:left="709"/>
              <w:jc w:val="both"/>
              <w:rPr>
                <w:rFonts w:ascii="Arial" w:hAnsi="Arial" w:cs="Arial"/>
                <w:sz w:val="24"/>
                <w:lang w:val="en-US"/>
              </w:rPr>
            </w:pPr>
          </w:p>
          <w:p w14:paraId="72CCC96B" w14:textId="77777777" w:rsidR="00531281" w:rsidRPr="00C64041" w:rsidRDefault="00531281" w:rsidP="00531281">
            <w:pPr>
              <w:tabs>
                <w:tab w:val="left" w:pos="709"/>
              </w:tabs>
              <w:ind w:left="709"/>
              <w:jc w:val="both"/>
              <w:rPr>
                <w:rFonts w:ascii="Arial" w:hAnsi="Arial" w:cs="Arial"/>
                <w:sz w:val="24"/>
                <w:lang w:val="en-US"/>
              </w:rPr>
            </w:pPr>
            <w:r w:rsidRPr="00C64041">
              <w:rPr>
                <w:rFonts w:ascii="Arial" w:hAnsi="Arial" w:cs="Arial"/>
                <w:sz w:val="24"/>
                <w:lang w:val="en-US"/>
              </w:rPr>
              <w:t>DOE-certified existing and new RE Developers of RE facilities, I</w:t>
            </w:r>
            <w:r w:rsidRPr="00C64041">
              <w:rPr>
                <w:rFonts w:ascii="Arial" w:hAnsi="Arial" w:cs="Arial"/>
                <w:sz w:val="24"/>
                <w:u w:val="single"/>
                <w:lang w:val="en-US"/>
              </w:rPr>
              <w:t>RESS and Emerging RE Technologies,</w:t>
            </w:r>
            <w:r w:rsidRPr="00C64041">
              <w:rPr>
                <w:rFonts w:ascii="Arial" w:hAnsi="Arial" w:cs="Arial"/>
                <w:sz w:val="24"/>
                <w:lang w:val="en-US"/>
              </w:rPr>
              <w:t xml:space="preserve"> including Hybrid Systems, in proportion to and to the extent of the RE component, for both Power and Non-Power Applications, shall be entitled to the following incentives:</w:t>
            </w:r>
          </w:p>
          <w:p w14:paraId="01E1FDC5" w14:textId="39E6B0B1" w:rsidR="00CE4CAD" w:rsidRPr="00531281" w:rsidRDefault="00CE4CAD" w:rsidP="00CE4CAD">
            <w:pPr>
              <w:ind w:left="731" w:right="571"/>
              <w:jc w:val="both"/>
              <w:rPr>
                <w:rFonts w:ascii="Arial" w:hAnsi="Arial" w:cs="Arial"/>
                <w:bCs/>
                <w:color w:val="FF0000"/>
                <w:sz w:val="24"/>
                <w:szCs w:val="24"/>
                <w:lang w:val="en-US"/>
              </w:rPr>
            </w:pPr>
          </w:p>
        </w:tc>
        <w:tc>
          <w:tcPr>
            <w:tcW w:w="4255" w:type="dxa"/>
          </w:tcPr>
          <w:p w14:paraId="55D1112F" w14:textId="77777777" w:rsidR="003E3602" w:rsidRPr="00531281" w:rsidRDefault="003E3602" w:rsidP="00040EFE">
            <w:pPr>
              <w:jc w:val="center"/>
              <w:rPr>
                <w:rFonts w:ascii="Arial" w:hAnsi="Arial" w:cs="Arial"/>
                <w:b/>
                <w:bCs/>
                <w:color w:val="FF0000"/>
                <w:sz w:val="24"/>
                <w:szCs w:val="24"/>
              </w:rPr>
            </w:pPr>
          </w:p>
        </w:tc>
        <w:tc>
          <w:tcPr>
            <w:tcW w:w="3683" w:type="dxa"/>
          </w:tcPr>
          <w:p w14:paraId="508D0EC5" w14:textId="77777777" w:rsidR="003E3602" w:rsidRPr="00531281" w:rsidRDefault="003E3602" w:rsidP="00040EFE">
            <w:pPr>
              <w:jc w:val="center"/>
              <w:rPr>
                <w:rFonts w:ascii="Arial" w:hAnsi="Arial" w:cs="Arial"/>
                <w:b/>
                <w:bCs/>
                <w:color w:val="FF0000"/>
                <w:sz w:val="24"/>
                <w:szCs w:val="24"/>
              </w:rPr>
            </w:pPr>
          </w:p>
        </w:tc>
      </w:tr>
      <w:tr w:rsidR="00531281" w:rsidRPr="00531281" w14:paraId="5102C932" w14:textId="77777777" w:rsidTr="7DB4BAA9">
        <w:trPr>
          <w:trHeight w:val="1015"/>
          <w:tblHeader/>
        </w:trPr>
        <w:tc>
          <w:tcPr>
            <w:tcW w:w="6799" w:type="dxa"/>
          </w:tcPr>
          <w:p w14:paraId="4E3AC7B7" w14:textId="77777777" w:rsidR="00531281" w:rsidRPr="00C64041" w:rsidRDefault="00531281" w:rsidP="00531281">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hanging="349"/>
              <w:contextualSpacing/>
              <w:jc w:val="both"/>
              <w:rPr>
                <w:rFonts w:ascii="Arial" w:hAnsi="Arial" w:cs="Arial"/>
                <w:i/>
                <w:iCs/>
              </w:rPr>
            </w:pPr>
            <w:r w:rsidRPr="00C64041">
              <w:rPr>
                <w:rFonts w:ascii="Arial" w:hAnsi="Arial" w:cs="Arial"/>
                <w:i/>
                <w:iCs/>
              </w:rPr>
              <w:lastRenderedPageBreak/>
              <w:t>Income Tax Holiday (ITH)</w:t>
            </w:r>
          </w:p>
          <w:p w14:paraId="400C8ABA" w14:textId="77777777" w:rsidR="00531281" w:rsidRPr="00C64041" w:rsidRDefault="00531281" w:rsidP="00531281">
            <w:pPr>
              <w:pStyle w:val="ListParagraph"/>
              <w:tabs>
                <w:tab w:val="left" w:pos="709"/>
              </w:tabs>
              <w:ind w:left="1069"/>
              <w:jc w:val="both"/>
              <w:rPr>
                <w:rFonts w:ascii="Arial" w:hAnsi="Arial" w:cs="Arial"/>
                <w:i/>
                <w:iCs/>
              </w:rPr>
            </w:pPr>
          </w:p>
          <w:p w14:paraId="3C32D3D8" w14:textId="77777777" w:rsidR="00531281" w:rsidRPr="00C64041" w:rsidRDefault="00531281" w:rsidP="00531281">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349"/>
              <w:contextualSpacing/>
              <w:jc w:val="both"/>
              <w:rPr>
                <w:rFonts w:ascii="Arial" w:hAnsi="Arial" w:cs="Arial"/>
              </w:rPr>
            </w:pPr>
            <w:r w:rsidRPr="00C64041">
              <w:rPr>
                <w:rFonts w:ascii="Arial" w:hAnsi="Arial" w:cs="Arial"/>
                <w:i/>
                <w:iCs/>
              </w:rPr>
              <w:t xml:space="preserve">Period of </w:t>
            </w:r>
            <w:proofErr w:type="spellStart"/>
            <w:r w:rsidRPr="00C64041">
              <w:rPr>
                <w:rFonts w:ascii="Arial" w:hAnsi="Arial" w:cs="Arial"/>
                <w:i/>
                <w:iCs/>
              </w:rPr>
              <w:t>Availment</w:t>
            </w:r>
            <w:proofErr w:type="spellEnd"/>
            <w:r w:rsidRPr="00C64041">
              <w:rPr>
                <w:rFonts w:ascii="Arial" w:hAnsi="Arial" w:cs="Arial"/>
                <w:i/>
                <w:iCs/>
              </w:rPr>
              <w:t xml:space="preserve"> – </w:t>
            </w:r>
            <w:r w:rsidRPr="00C64041">
              <w:rPr>
                <w:rFonts w:ascii="Arial" w:hAnsi="Arial" w:cs="Arial"/>
              </w:rPr>
              <w:t>The duly registered RE Developer shall be fully exempt from income taxes levied by the National Government for the period as follows:</w:t>
            </w:r>
          </w:p>
          <w:p w14:paraId="04F5C9E2" w14:textId="77777777" w:rsidR="00531281" w:rsidRPr="00C64041" w:rsidRDefault="00531281" w:rsidP="00531281">
            <w:pPr>
              <w:pStyle w:val="ListParagraph"/>
              <w:tabs>
                <w:tab w:val="left" w:pos="709"/>
              </w:tabs>
              <w:ind w:left="1429"/>
              <w:jc w:val="both"/>
              <w:rPr>
                <w:rFonts w:ascii="Arial" w:hAnsi="Arial" w:cs="Arial"/>
                <w:i/>
                <w:iCs/>
              </w:rPr>
            </w:pPr>
          </w:p>
          <w:p w14:paraId="644E905B" w14:textId="77777777" w:rsidR="00531281" w:rsidRPr="00C64041" w:rsidRDefault="00531281" w:rsidP="0053128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rPr>
            </w:pPr>
            <w:r w:rsidRPr="00C64041">
              <w:rPr>
                <w:rFonts w:ascii="Arial" w:hAnsi="Arial" w:cs="Arial"/>
              </w:rPr>
              <w:t>Existing RE Projects – Seven (7) years from the start of commercial operations.</w:t>
            </w:r>
          </w:p>
          <w:p w14:paraId="3504E82C" w14:textId="77777777" w:rsidR="00531281" w:rsidRPr="00C64041" w:rsidRDefault="00531281" w:rsidP="00531281">
            <w:pPr>
              <w:pStyle w:val="ListParagraph"/>
              <w:tabs>
                <w:tab w:val="left" w:pos="709"/>
              </w:tabs>
              <w:ind w:left="1800" w:hanging="360"/>
              <w:jc w:val="both"/>
              <w:rPr>
                <w:rFonts w:ascii="Arial" w:hAnsi="Arial" w:cs="Arial"/>
              </w:rPr>
            </w:pPr>
          </w:p>
          <w:p w14:paraId="184BB628" w14:textId="77777777" w:rsidR="00531281" w:rsidRPr="00C64041" w:rsidRDefault="00531281" w:rsidP="0053128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rPr>
            </w:pPr>
            <w:r w:rsidRPr="00C64041">
              <w:rPr>
                <w:rFonts w:ascii="Arial" w:hAnsi="Arial" w:cs="Arial"/>
              </w:rPr>
              <w:t>All RE Developers that acquire, operate and/or administer existing RE facilities that were or have been in commercial operation for more than seven (7) years, upon the effectivity of the Act, shall not be entitled to ITH, except for any additional investment</w:t>
            </w:r>
            <w:r w:rsidRPr="00C64041">
              <w:rPr>
                <w:rFonts w:ascii="Arial" w:hAnsi="Arial" w:cs="Arial"/>
                <w:u w:val="single"/>
              </w:rPr>
              <w:t xml:space="preserve">: </w:t>
            </w:r>
            <w:r w:rsidRPr="00C64041">
              <w:rPr>
                <w:rFonts w:ascii="Arial" w:hAnsi="Arial" w:cs="Arial"/>
                <w:i/>
                <w:iCs/>
                <w:u w:val="single"/>
              </w:rPr>
              <w:t>Provided</w:t>
            </w:r>
            <w:r w:rsidRPr="00C64041">
              <w:rPr>
                <w:rFonts w:ascii="Arial" w:hAnsi="Arial" w:cs="Arial"/>
                <w:u w:val="single"/>
              </w:rPr>
              <w:t>, That the corresponding RE Contract was assigned to the RE Developer</w:t>
            </w:r>
            <w:r w:rsidRPr="00C64041">
              <w:rPr>
                <w:rFonts w:ascii="Arial" w:hAnsi="Arial" w:cs="Arial"/>
              </w:rPr>
              <w:t>.</w:t>
            </w:r>
          </w:p>
          <w:p w14:paraId="2B97CBAA" w14:textId="77777777" w:rsidR="00531281" w:rsidRPr="00C64041" w:rsidRDefault="00531281" w:rsidP="00531281">
            <w:pPr>
              <w:pStyle w:val="ListParagraph"/>
              <w:jc w:val="both"/>
              <w:rPr>
                <w:rFonts w:ascii="Arial" w:hAnsi="Arial" w:cs="Arial"/>
              </w:rPr>
            </w:pPr>
          </w:p>
          <w:p w14:paraId="796CF5E5" w14:textId="77777777" w:rsidR="00531281" w:rsidRPr="00C64041" w:rsidRDefault="00531281" w:rsidP="00531281">
            <w:pPr>
              <w:pStyle w:val="ListParagraph"/>
              <w:ind w:left="1789"/>
              <w:jc w:val="both"/>
              <w:rPr>
                <w:rFonts w:ascii="Arial" w:hAnsi="Arial" w:cs="Arial"/>
              </w:rPr>
            </w:pPr>
            <w:r w:rsidRPr="00C64041">
              <w:rPr>
                <w:rFonts w:ascii="Arial" w:hAnsi="Arial" w:cs="Arial"/>
              </w:rPr>
              <w:tab/>
              <w:t>xxx</w:t>
            </w:r>
            <w:r w:rsidRPr="00C64041">
              <w:rPr>
                <w:rFonts w:ascii="Arial" w:hAnsi="Arial" w:cs="Arial"/>
              </w:rPr>
              <w:tab/>
            </w:r>
            <w:r w:rsidRPr="00C64041">
              <w:rPr>
                <w:rFonts w:ascii="Arial" w:hAnsi="Arial" w:cs="Arial"/>
              </w:rPr>
              <w:tab/>
            </w:r>
            <w:r w:rsidRPr="00C64041">
              <w:rPr>
                <w:rFonts w:ascii="Arial" w:hAnsi="Arial" w:cs="Arial"/>
              </w:rPr>
              <w:tab/>
            </w:r>
            <w:r w:rsidRPr="00C64041">
              <w:rPr>
                <w:rFonts w:ascii="Arial" w:hAnsi="Arial" w:cs="Arial"/>
              </w:rPr>
              <w:tab/>
            </w:r>
            <w:proofErr w:type="spellStart"/>
            <w:r w:rsidRPr="00C64041">
              <w:rPr>
                <w:rFonts w:ascii="Arial" w:hAnsi="Arial" w:cs="Arial"/>
              </w:rPr>
              <w:t>xxx</w:t>
            </w:r>
            <w:proofErr w:type="spellEnd"/>
            <w:r w:rsidRPr="00C64041">
              <w:rPr>
                <w:rFonts w:ascii="Arial" w:hAnsi="Arial" w:cs="Arial"/>
              </w:rPr>
              <w:tab/>
            </w:r>
            <w:r w:rsidRPr="00C64041">
              <w:rPr>
                <w:rFonts w:ascii="Arial" w:hAnsi="Arial" w:cs="Arial"/>
              </w:rPr>
              <w:tab/>
            </w:r>
            <w:r w:rsidRPr="00C64041">
              <w:rPr>
                <w:rFonts w:ascii="Arial" w:hAnsi="Arial" w:cs="Arial"/>
              </w:rPr>
              <w:tab/>
            </w:r>
            <w:r w:rsidRPr="00C64041">
              <w:rPr>
                <w:rFonts w:ascii="Arial" w:hAnsi="Arial" w:cs="Arial"/>
              </w:rPr>
              <w:tab/>
            </w:r>
            <w:proofErr w:type="spellStart"/>
            <w:r w:rsidRPr="00C64041">
              <w:rPr>
                <w:rFonts w:ascii="Arial" w:hAnsi="Arial" w:cs="Arial"/>
              </w:rPr>
              <w:t>xxx</w:t>
            </w:r>
            <w:proofErr w:type="spellEnd"/>
          </w:p>
          <w:p w14:paraId="159C6077" w14:textId="12520A46" w:rsidR="003E3602" w:rsidRPr="00531281" w:rsidRDefault="003E3602" w:rsidP="7DB4BAA9">
            <w:pPr>
              <w:ind w:left="567" w:hanging="578"/>
              <w:jc w:val="both"/>
              <w:rPr>
                <w:rFonts w:ascii="Arial" w:hAnsi="Arial" w:cs="Arial"/>
                <w:b/>
                <w:bCs/>
                <w:color w:val="FF0000"/>
                <w:sz w:val="24"/>
                <w:szCs w:val="24"/>
                <w:lang w:val="en-US"/>
              </w:rPr>
            </w:pPr>
          </w:p>
        </w:tc>
        <w:tc>
          <w:tcPr>
            <w:tcW w:w="4255" w:type="dxa"/>
          </w:tcPr>
          <w:p w14:paraId="2B2D7179" w14:textId="77777777" w:rsidR="003E3602" w:rsidRPr="00531281" w:rsidRDefault="003E3602" w:rsidP="00040EFE">
            <w:pPr>
              <w:jc w:val="center"/>
              <w:rPr>
                <w:rFonts w:ascii="Arial" w:hAnsi="Arial" w:cs="Arial"/>
                <w:b/>
                <w:bCs/>
                <w:color w:val="FF0000"/>
                <w:sz w:val="24"/>
                <w:szCs w:val="24"/>
              </w:rPr>
            </w:pPr>
          </w:p>
        </w:tc>
        <w:tc>
          <w:tcPr>
            <w:tcW w:w="3683" w:type="dxa"/>
          </w:tcPr>
          <w:p w14:paraId="09670A4C" w14:textId="77777777" w:rsidR="003E3602" w:rsidRPr="00531281" w:rsidRDefault="003E3602" w:rsidP="00040EFE">
            <w:pPr>
              <w:jc w:val="center"/>
              <w:rPr>
                <w:rFonts w:ascii="Arial" w:hAnsi="Arial" w:cs="Arial"/>
                <w:b/>
                <w:bCs/>
                <w:color w:val="FF0000"/>
                <w:sz w:val="24"/>
                <w:szCs w:val="24"/>
              </w:rPr>
            </w:pPr>
          </w:p>
        </w:tc>
      </w:tr>
      <w:tr w:rsidR="00531281" w:rsidRPr="00531281" w14:paraId="48F36893" w14:textId="77777777" w:rsidTr="7DB4BAA9">
        <w:trPr>
          <w:trHeight w:val="1015"/>
          <w:tblHeader/>
        </w:trPr>
        <w:tc>
          <w:tcPr>
            <w:tcW w:w="6799" w:type="dxa"/>
          </w:tcPr>
          <w:p w14:paraId="52BF363A" w14:textId="77777777" w:rsidR="00531281" w:rsidRPr="00C64041" w:rsidRDefault="00531281" w:rsidP="00531281">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rPr>
            </w:pPr>
            <w:r w:rsidRPr="00C64041">
              <w:rPr>
                <w:rFonts w:ascii="Arial" w:hAnsi="Arial" w:cs="Arial"/>
                <w:i/>
                <w:iCs/>
              </w:rPr>
              <w:lastRenderedPageBreak/>
              <w:t>Entitlement for New and Additional Investments subject to prior approval by the DOE</w:t>
            </w:r>
          </w:p>
          <w:p w14:paraId="0C903A25" w14:textId="77777777" w:rsidR="00531281" w:rsidRPr="00C64041" w:rsidRDefault="00531281" w:rsidP="00531281">
            <w:pPr>
              <w:pStyle w:val="ListParagraph"/>
              <w:tabs>
                <w:tab w:val="left" w:pos="709"/>
              </w:tabs>
              <w:ind w:left="1429"/>
              <w:jc w:val="both"/>
              <w:rPr>
                <w:rFonts w:ascii="Arial" w:hAnsi="Arial" w:cs="Arial"/>
              </w:rPr>
            </w:pPr>
          </w:p>
          <w:p w14:paraId="14136693" w14:textId="77777777" w:rsidR="00531281" w:rsidRPr="00C64041" w:rsidRDefault="00531281" w:rsidP="0053128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hanging="349"/>
              <w:contextualSpacing/>
              <w:jc w:val="both"/>
              <w:rPr>
                <w:rFonts w:ascii="Arial" w:hAnsi="Arial" w:cs="Arial"/>
              </w:rPr>
            </w:pPr>
            <w:r w:rsidRPr="00C64041">
              <w:rPr>
                <w:rFonts w:ascii="Arial" w:hAnsi="Arial" w:cs="Arial"/>
              </w:rPr>
              <w:t xml:space="preserve">New investment – RE Developers undertaking discovery and development of new RE Resource distinct from their registered operations may qualify as new projects, subject to the </w:t>
            </w:r>
            <w:r w:rsidRPr="00C64041">
              <w:rPr>
                <w:rFonts w:ascii="Arial" w:hAnsi="Arial" w:cs="Arial"/>
                <w:u w:val="single"/>
              </w:rPr>
              <w:t xml:space="preserve">issuance of a corresponding RE </w:t>
            </w:r>
            <w:proofErr w:type="spellStart"/>
            <w:r w:rsidRPr="00C64041">
              <w:rPr>
                <w:rFonts w:ascii="Arial" w:hAnsi="Arial" w:cs="Arial"/>
                <w:u w:val="single"/>
              </w:rPr>
              <w:t>Contractand</w:t>
            </w:r>
            <w:proofErr w:type="spellEnd"/>
            <w:r w:rsidRPr="00C64041">
              <w:rPr>
                <w:rFonts w:ascii="Arial" w:hAnsi="Arial" w:cs="Arial"/>
              </w:rPr>
              <w:t xml:space="preserve"> setting up of separate books of accounts. In such cases, a fresh package of ITH from the start of commercial operations shall apply.</w:t>
            </w:r>
          </w:p>
          <w:p w14:paraId="4752D3AB" w14:textId="77777777" w:rsidR="00531281" w:rsidRPr="00C64041" w:rsidRDefault="00531281" w:rsidP="00531281">
            <w:pPr>
              <w:pStyle w:val="ListParagraph"/>
              <w:tabs>
                <w:tab w:val="left" w:pos="709"/>
              </w:tabs>
              <w:ind w:left="1789"/>
              <w:jc w:val="both"/>
              <w:rPr>
                <w:rFonts w:ascii="Arial" w:hAnsi="Arial" w:cs="Arial"/>
              </w:rPr>
            </w:pPr>
          </w:p>
          <w:p w14:paraId="4F8F1EC9" w14:textId="77777777" w:rsidR="00531281" w:rsidRPr="00C64041" w:rsidRDefault="00531281" w:rsidP="00531281">
            <w:pPr>
              <w:pStyle w:val="ListParagraph"/>
              <w:ind w:left="1789"/>
              <w:jc w:val="both"/>
              <w:rPr>
                <w:rFonts w:ascii="Arial" w:hAnsi="Arial" w:cs="Arial"/>
              </w:rPr>
            </w:pPr>
            <w:r w:rsidRPr="00C64041">
              <w:rPr>
                <w:rFonts w:ascii="Arial" w:hAnsi="Arial" w:cs="Arial"/>
              </w:rPr>
              <w:tab/>
              <w:t>xxx</w:t>
            </w:r>
            <w:r w:rsidRPr="00C64041">
              <w:rPr>
                <w:rFonts w:ascii="Arial" w:hAnsi="Arial" w:cs="Arial"/>
              </w:rPr>
              <w:tab/>
            </w:r>
            <w:r w:rsidRPr="00C64041">
              <w:rPr>
                <w:rFonts w:ascii="Arial" w:hAnsi="Arial" w:cs="Arial"/>
              </w:rPr>
              <w:tab/>
            </w:r>
            <w:r w:rsidRPr="00C64041">
              <w:rPr>
                <w:rFonts w:ascii="Arial" w:hAnsi="Arial" w:cs="Arial"/>
              </w:rPr>
              <w:tab/>
            </w:r>
            <w:r w:rsidRPr="00C64041">
              <w:rPr>
                <w:rFonts w:ascii="Arial" w:hAnsi="Arial" w:cs="Arial"/>
              </w:rPr>
              <w:tab/>
            </w:r>
            <w:proofErr w:type="spellStart"/>
            <w:r w:rsidRPr="00C64041">
              <w:rPr>
                <w:rFonts w:ascii="Arial" w:hAnsi="Arial" w:cs="Arial"/>
              </w:rPr>
              <w:t>xxx</w:t>
            </w:r>
            <w:proofErr w:type="spellEnd"/>
            <w:r w:rsidRPr="00C64041">
              <w:rPr>
                <w:rFonts w:ascii="Arial" w:hAnsi="Arial" w:cs="Arial"/>
              </w:rPr>
              <w:tab/>
            </w:r>
            <w:r w:rsidRPr="00C64041">
              <w:rPr>
                <w:rFonts w:ascii="Arial" w:hAnsi="Arial" w:cs="Arial"/>
              </w:rPr>
              <w:tab/>
            </w:r>
            <w:r w:rsidRPr="00C64041">
              <w:rPr>
                <w:rFonts w:ascii="Arial" w:hAnsi="Arial" w:cs="Arial"/>
              </w:rPr>
              <w:tab/>
            </w:r>
            <w:r w:rsidRPr="00C64041">
              <w:rPr>
                <w:rFonts w:ascii="Arial" w:hAnsi="Arial" w:cs="Arial"/>
              </w:rPr>
              <w:tab/>
            </w:r>
            <w:proofErr w:type="spellStart"/>
            <w:r w:rsidRPr="00C64041">
              <w:rPr>
                <w:rFonts w:ascii="Arial" w:hAnsi="Arial" w:cs="Arial"/>
              </w:rPr>
              <w:t>xxx</w:t>
            </w:r>
            <w:proofErr w:type="spellEnd"/>
          </w:p>
          <w:p w14:paraId="4DFF57DF" w14:textId="674761E4" w:rsidR="003E3602" w:rsidRPr="00531281" w:rsidRDefault="003E3602" w:rsidP="00652618">
            <w:pPr>
              <w:jc w:val="both"/>
              <w:rPr>
                <w:rFonts w:ascii="Arial" w:hAnsi="Arial" w:cs="Arial"/>
                <w:color w:val="FF0000"/>
                <w:sz w:val="24"/>
                <w:szCs w:val="24"/>
              </w:rPr>
            </w:pPr>
          </w:p>
        </w:tc>
        <w:tc>
          <w:tcPr>
            <w:tcW w:w="4255" w:type="dxa"/>
          </w:tcPr>
          <w:p w14:paraId="57DAE864" w14:textId="77777777" w:rsidR="003E3602" w:rsidRPr="00531281" w:rsidRDefault="003E3602" w:rsidP="00040EFE">
            <w:pPr>
              <w:jc w:val="center"/>
              <w:rPr>
                <w:rFonts w:ascii="Arial" w:hAnsi="Arial" w:cs="Arial"/>
                <w:b/>
                <w:bCs/>
                <w:color w:val="FF0000"/>
                <w:sz w:val="24"/>
                <w:szCs w:val="24"/>
              </w:rPr>
            </w:pPr>
          </w:p>
        </w:tc>
        <w:tc>
          <w:tcPr>
            <w:tcW w:w="3683" w:type="dxa"/>
          </w:tcPr>
          <w:p w14:paraId="04123121" w14:textId="77777777" w:rsidR="003E3602" w:rsidRPr="00531281" w:rsidRDefault="003E3602" w:rsidP="00040EFE">
            <w:pPr>
              <w:jc w:val="center"/>
              <w:rPr>
                <w:rFonts w:ascii="Arial" w:hAnsi="Arial" w:cs="Arial"/>
                <w:b/>
                <w:bCs/>
                <w:color w:val="FF0000"/>
                <w:sz w:val="24"/>
                <w:szCs w:val="24"/>
              </w:rPr>
            </w:pPr>
          </w:p>
        </w:tc>
      </w:tr>
      <w:tr w:rsidR="003E3602" w:rsidRPr="00531281" w14:paraId="6D7F968A" w14:textId="77777777" w:rsidTr="7DB4BAA9">
        <w:trPr>
          <w:trHeight w:val="1015"/>
          <w:tblHeader/>
        </w:trPr>
        <w:tc>
          <w:tcPr>
            <w:tcW w:w="6799" w:type="dxa"/>
          </w:tcPr>
          <w:p w14:paraId="237E30F9" w14:textId="77777777" w:rsidR="00531281" w:rsidRPr="00C64041" w:rsidRDefault="00531281" w:rsidP="00531281">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hanging="349"/>
              <w:contextualSpacing/>
              <w:jc w:val="both"/>
              <w:rPr>
                <w:rFonts w:ascii="Arial" w:hAnsi="Arial" w:cs="Arial"/>
                <w:i/>
                <w:iCs/>
              </w:rPr>
            </w:pPr>
            <w:r w:rsidRPr="00C64041">
              <w:rPr>
                <w:rFonts w:ascii="Arial" w:hAnsi="Arial" w:cs="Arial"/>
                <w:i/>
                <w:iCs/>
              </w:rPr>
              <w:lastRenderedPageBreak/>
              <w:t>Exemption from Duties on RE Machinery, Equipment and Materials</w:t>
            </w:r>
          </w:p>
          <w:p w14:paraId="3B297A3A" w14:textId="77777777" w:rsidR="00531281" w:rsidRPr="00C64041" w:rsidRDefault="00531281" w:rsidP="00531281">
            <w:pPr>
              <w:pStyle w:val="ListParagraph"/>
              <w:tabs>
                <w:tab w:val="left" w:pos="709"/>
              </w:tabs>
              <w:ind w:left="1069"/>
              <w:jc w:val="both"/>
              <w:rPr>
                <w:rFonts w:ascii="Arial" w:hAnsi="Arial" w:cs="Arial"/>
                <w:i/>
                <w:iCs/>
              </w:rPr>
            </w:pPr>
          </w:p>
          <w:p w14:paraId="4142DEA2" w14:textId="77777777" w:rsidR="00531281" w:rsidRPr="00C64041" w:rsidRDefault="00531281" w:rsidP="00531281">
            <w:pPr>
              <w:ind w:left="1080"/>
              <w:jc w:val="both"/>
              <w:rPr>
                <w:rFonts w:ascii="Arial" w:hAnsi="Arial" w:cs="Arial"/>
                <w:sz w:val="24"/>
                <w:lang w:val="en-US"/>
              </w:rPr>
            </w:pPr>
            <w:r w:rsidRPr="00C64041">
              <w:rPr>
                <w:rFonts w:ascii="Arial" w:hAnsi="Arial" w:cs="Arial"/>
                <w:sz w:val="24"/>
                <w:lang w:val="en-US"/>
              </w:rPr>
              <w:t xml:space="preserve">Within the first ten (10) years from the issuance of a Certificate of Registration to an RE Developer, the importation of machinery and equipment, and materials and parts thereof, including control and communication equipment, shall be exempt from tariff duties: </w:t>
            </w:r>
          </w:p>
          <w:p w14:paraId="3D63C558" w14:textId="77777777" w:rsidR="00531281" w:rsidRPr="00C64041" w:rsidRDefault="00531281" w:rsidP="00531281">
            <w:pPr>
              <w:tabs>
                <w:tab w:val="left" w:pos="709"/>
              </w:tabs>
              <w:ind w:left="709"/>
              <w:jc w:val="both"/>
              <w:rPr>
                <w:rFonts w:ascii="Arial" w:hAnsi="Arial" w:cs="Arial"/>
                <w:sz w:val="24"/>
                <w:lang w:val="en-US"/>
              </w:rPr>
            </w:pPr>
          </w:p>
          <w:p w14:paraId="3796884D" w14:textId="77777777" w:rsidR="00531281" w:rsidRPr="00C64041" w:rsidRDefault="00531281" w:rsidP="00531281">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rPr>
            </w:pPr>
            <w:r w:rsidRPr="00C64041">
              <w:rPr>
                <w:rFonts w:ascii="Arial" w:hAnsi="Arial" w:cs="Arial"/>
                <w:i/>
                <w:iCs/>
              </w:rPr>
              <w:t>Conditions for Duty-Free Importation —</w:t>
            </w:r>
            <w:r w:rsidRPr="00C64041">
              <w:rPr>
                <w:rFonts w:ascii="Arial" w:hAnsi="Arial" w:cs="Arial"/>
              </w:rPr>
              <w:t xml:space="preserve"> An RE Developer may import machinery and equipment, and materials and parts thereof exempt from </w:t>
            </w:r>
            <w:proofErr w:type="gramStart"/>
            <w:r w:rsidRPr="00C64041">
              <w:rPr>
                <w:rFonts w:ascii="Arial" w:hAnsi="Arial" w:cs="Arial"/>
              </w:rPr>
              <w:t>the  payment</w:t>
            </w:r>
            <w:proofErr w:type="gramEnd"/>
            <w:r w:rsidRPr="00C64041">
              <w:rPr>
                <w:rFonts w:ascii="Arial" w:hAnsi="Arial" w:cs="Arial"/>
              </w:rPr>
              <w:t xml:space="preserve"> of any and all tariff duties thereon subject to the following conditions:</w:t>
            </w:r>
          </w:p>
          <w:p w14:paraId="24F7C8D1" w14:textId="77777777" w:rsidR="00531281" w:rsidRPr="00C64041" w:rsidRDefault="00531281" w:rsidP="00531281">
            <w:pPr>
              <w:pStyle w:val="ListParagraph"/>
              <w:tabs>
                <w:tab w:val="left" w:pos="709"/>
              </w:tabs>
              <w:ind w:left="1418"/>
              <w:jc w:val="both"/>
              <w:rPr>
                <w:rFonts w:ascii="Arial" w:hAnsi="Arial" w:cs="Arial"/>
                <w:i/>
                <w:iCs/>
              </w:rPr>
            </w:pPr>
          </w:p>
          <w:p w14:paraId="50DFC168" w14:textId="77777777" w:rsidR="00531281" w:rsidRPr="00C64041" w:rsidRDefault="00531281" w:rsidP="00531281">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rPr>
            </w:pPr>
            <w:r w:rsidRPr="00C64041">
              <w:rPr>
                <w:rFonts w:ascii="Arial" w:hAnsi="Arial" w:cs="Arial"/>
              </w:rPr>
              <w:t xml:space="preserve">The machinery and equipment are directly and actually needed and will be used exclusively in the RE facilities for the transformation of and delivery of energy to the point of </w:t>
            </w:r>
            <w:proofErr w:type="gramStart"/>
            <w:r w:rsidRPr="00C64041">
              <w:rPr>
                <w:rFonts w:ascii="Arial" w:hAnsi="Arial" w:cs="Arial"/>
              </w:rPr>
              <w:t>use;</w:t>
            </w:r>
            <w:proofErr w:type="gramEnd"/>
          </w:p>
          <w:p w14:paraId="330B9790" w14:textId="77777777" w:rsidR="00531281" w:rsidRPr="00C64041" w:rsidRDefault="00531281" w:rsidP="00531281">
            <w:pPr>
              <w:pStyle w:val="ListParagraph"/>
              <w:tabs>
                <w:tab w:val="left" w:pos="709"/>
              </w:tabs>
              <w:ind w:left="1778"/>
              <w:jc w:val="both"/>
              <w:rPr>
                <w:rFonts w:ascii="Arial" w:hAnsi="Arial" w:cs="Arial"/>
              </w:rPr>
            </w:pPr>
          </w:p>
          <w:p w14:paraId="5EC22E8D" w14:textId="6100F713" w:rsidR="00531281" w:rsidRPr="00C64041" w:rsidRDefault="00531281" w:rsidP="00531281">
            <w:pPr>
              <w:pStyle w:val="ListParagraph"/>
              <w:ind w:left="1800"/>
              <w:jc w:val="both"/>
              <w:rPr>
                <w:rFonts w:ascii="Arial" w:hAnsi="Arial" w:cs="Arial"/>
              </w:rPr>
            </w:pPr>
            <w:r w:rsidRPr="00C64041">
              <w:rPr>
                <w:rFonts w:ascii="Arial" w:hAnsi="Arial" w:cs="Arial"/>
              </w:rPr>
              <w:tab/>
              <w:t>xxx</w:t>
            </w:r>
            <w:r w:rsidRPr="00C64041">
              <w:rPr>
                <w:rFonts w:ascii="Arial" w:hAnsi="Arial" w:cs="Arial"/>
              </w:rPr>
              <w:tab/>
            </w:r>
            <w:proofErr w:type="spellStart"/>
            <w:r w:rsidRPr="00C64041">
              <w:rPr>
                <w:rFonts w:ascii="Arial" w:hAnsi="Arial" w:cs="Arial"/>
              </w:rPr>
              <w:t>xxx</w:t>
            </w:r>
            <w:proofErr w:type="spellEnd"/>
            <w:r w:rsidRPr="00C64041">
              <w:rPr>
                <w:rFonts w:ascii="Arial" w:hAnsi="Arial" w:cs="Arial"/>
              </w:rPr>
              <w:tab/>
            </w:r>
            <w:proofErr w:type="spellStart"/>
            <w:r w:rsidRPr="00C64041">
              <w:rPr>
                <w:rFonts w:ascii="Arial" w:hAnsi="Arial" w:cs="Arial"/>
              </w:rPr>
              <w:t>xxx</w:t>
            </w:r>
            <w:proofErr w:type="spellEnd"/>
          </w:p>
          <w:p w14:paraId="5A80BCC0" w14:textId="77777777" w:rsidR="00531281" w:rsidRPr="00C64041" w:rsidRDefault="00531281" w:rsidP="00531281">
            <w:pPr>
              <w:pStyle w:val="ListParagraph"/>
              <w:tabs>
                <w:tab w:val="left" w:pos="709"/>
              </w:tabs>
              <w:ind w:left="1778"/>
              <w:jc w:val="both"/>
              <w:rPr>
                <w:rFonts w:ascii="Arial" w:hAnsi="Arial" w:cs="Arial"/>
              </w:rPr>
            </w:pPr>
          </w:p>
          <w:p w14:paraId="17D5F050" w14:textId="77777777" w:rsidR="00531281" w:rsidRPr="00C64041" w:rsidRDefault="00531281" w:rsidP="0053128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rPr>
            </w:pPr>
            <w:r w:rsidRPr="00C64041">
              <w:rPr>
                <w:rFonts w:ascii="Arial" w:hAnsi="Arial" w:cs="Arial"/>
                <w:u w:val="single"/>
              </w:rPr>
              <w:t>Endorsement of the DOE is obtained before the importation</w:t>
            </w:r>
            <w:r w:rsidRPr="00C64041">
              <w:rPr>
                <w:rFonts w:ascii="Arial" w:hAnsi="Arial" w:cs="Arial"/>
                <w:b/>
                <w:bCs/>
              </w:rPr>
              <w:t>.</w:t>
            </w:r>
          </w:p>
          <w:p w14:paraId="3D8138FE" w14:textId="7CFCDB90" w:rsidR="00CE4CAD" w:rsidRPr="00531281" w:rsidRDefault="00CE4CAD" w:rsidP="00901B79">
            <w:pPr>
              <w:pStyle w:val="p2"/>
              <w:tabs>
                <w:tab w:val="left" w:pos="284"/>
                <w:tab w:val="left" w:pos="567"/>
                <w:tab w:val="left" w:pos="851"/>
                <w:tab w:val="left" w:pos="1134"/>
              </w:tabs>
              <w:jc w:val="both"/>
              <w:rPr>
                <w:rFonts w:ascii="Arial" w:eastAsia="Book Antiqua" w:hAnsi="Arial" w:cs="Arial"/>
                <w:color w:val="FF0000"/>
                <w:sz w:val="24"/>
                <w:szCs w:val="24"/>
              </w:rPr>
            </w:pPr>
          </w:p>
        </w:tc>
        <w:tc>
          <w:tcPr>
            <w:tcW w:w="4255" w:type="dxa"/>
          </w:tcPr>
          <w:p w14:paraId="2174347A" w14:textId="77777777" w:rsidR="003E3602" w:rsidRPr="00531281" w:rsidRDefault="003E3602" w:rsidP="00040EFE">
            <w:pPr>
              <w:jc w:val="center"/>
              <w:rPr>
                <w:rFonts w:ascii="Arial" w:hAnsi="Arial" w:cs="Arial"/>
                <w:b/>
                <w:bCs/>
                <w:color w:val="FF0000"/>
                <w:sz w:val="24"/>
                <w:szCs w:val="24"/>
              </w:rPr>
            </w:pPr>
          </w:p>
        </w:tc>
        <w:tc>
          <w:tcPr>
            <w:tcW w:w="3683" w:type="dxa"/>
          </w:tcPr>
          <w:p w14:paraId="020DFBC0" w14:textId="77777777" w:rsidR="003E3602" w:rsidRPr="00531281" w:rsidRDefault="003E3602" w:rsidP="00040EFE">
            <w:pPr>
              <w:jc w:val="center"/>
              <w:rPr>
                <w:rFonts w:ascii="Arial" w:hAnsi="Arial" w:cs="Arial"/>
                <w:b/>
                <w:bCs/>
                <w:color w:val="FF0000"/>
                <w:sz w:val="24"/>
                <w:szCs w:val="24"/>
              </w:rPr>
            </w:pPr>
          </w:p>
        </w:tc>
      </w:tr>
      <w:tr w:rsidR="00531281" w:rsidRPr="00531281" w14:paraId="23D335A6" w14:textId="77777777" w:rsidTr="7DB4BAA9">
        <w:trPr>
          <w:trHeight w:val="1015"/>
          <w:tblHeader/>
        </w:trPr>
        <w:tc>
          <w:tcPr>
            <w:tcW w:w="6799" w:type="dxa"/>
          </w:tcPr>
          <w:p w14:paraId="459B182D" w14:textId="77777777" w:rsidR="00531281" w:rsidRPr="00C64041" w:rsidRDefault="00531281" w:rsidP="0053128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360" w:firstLine="0"/>
              <w:contextualSpacing/>
              <w:jc w:val="both"/>
              <w:rPr>
                <w:rFonts w:ascii="Arial" w:hAnsi="Arial" w:cs="Arial"/>
              </w:rPr>
            </w:pPr>
            <w:r w:rsidRPr="00C64041">
              <w:rPr>
                <w:rFonts w:ascii="Arial" w:hAnsi="Arial" w:cs="Arial"/>
              </w:rPr>
              <w:lastRenderedPageBreak/>
              <w:t xml:space="preserve">Section 18 of the RE Act IRR as amended, is hereby further amended to read as follows: </w:t>
            </w:r>
          </w:p>
          <w:p w14:paraId="69FB5907" w14:textId="77777777" w:rsidR="00531281" w:rsidRPr="00C64041" w:rsidRDefault="00531281" w:rsidP="00531281">
            <w:pPr>
              <w:pStyle w:val="ListParagraph"/>
              <w:tabs>
                <w:tab w:val="left" w:pos="1701"/>
              </w:tabs>
              <w:ind w:left="426"/>
              <w:jc w:val="both"/>
              <w:rPr>
                <w:rFonts w:ascii="Arial" w:hAnsi="Arial" w:cs="Arial"/>
              </w:rPr>
            </w:pPr>
          </w:p>
          <w:p w14:paraId="6A9343D9" w14:textId="77777777" w:rsidR="00531281" w:rsidRPr="00C64041" w:rsidRDefault="00531281" w:rsidP="00531281">
            <w:pPr>
              <w:pStyle w:val="ListParagraph"/>
              <w:tabs>
                <w:tab w:val="left" w:pos="1800"/>
              </w:tabs>
              <w:jc w:val="both"/>
              <w:rPr>
                <w:rFonts w:ascii="Arial" w:hAnsi="Arial" w:cs="Arial"/>
              </w:rPr>
            </w:pPr>
            <w:r w:rsidRPr="00C64041">
              <w:rPr>
                <w:rFonts w:ascii="Arial" w:hAnsi="Arial" w:cs="Arial"/>
              </w:rPr>
              <w:t xml:space="preserve">SEC. 18. Conditions for </w:t>
            </w:r>
            <w:proofErr w:type="spellStart"/>
            <w:r w:rsidRPr="00C64041">
              <w:rPr>
                <w:rFonts w:ascii="Arial" w:hAnsi="Arial" w:cs="Arial"/>
              </w:rPr>
              <w:t>Availment</w:t>
            </w:r>
            <w:proofErr w:type="spellEnd"/>
            <w:r w:rsidRPr="00C64041">
              <w:rPr>
                <w:rFonts w:ascii="Arial" w:hAnsi="Arial" w:cs="Arial"/>
              </w:rPr>
              <w:t xml:space="preserve"> of Incentives and Other Privileges</w:t>
            </w:r>
          </w:p>
          <w:p w14:paraId="2E9EC1A9" w14:textId="77777777" w:rsidR="00531281" w:rsidRPr="00C64041" w:rsidRDefault="00531281" w:rsidP="00531281">
            <w:pPr>
              <w:pStyle w:val="ListParagraph"/>
              <w:tabs>
                <w:tab w:val="left" w:pos="1560"/>
              </w:tabs>
              <w:ind w:left="306"/>
              <w:jc w:val="both"/>
              <w:rPr>
                <w:rFonts w:ascii="Arial" w:hAnsi="Arial" w:cs="Arial"/>
              </w:rPr>
            </w:pPr>
          </w:p>
          <w:p w14:paraId="1B784477" w14:textId="77777777" w:rsidR="00531281" w:rsidRPr="00C64041" w:rsidRDefault="00531281" w:rsidP="00531281">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i/>
                <w:iCs/>
              </w:rPr>
            </w:pPr>
            <w:r w:rsidRPr="00C64041">
              <w:rPr>
                <w:rFonts w:ascii="Arial" w:hAnsi="Arial" w:cs="Arial"/>
                <w:i/>
                <w:iCs/>
              </w:rPr>
              <w:t>Registration/Accreditation with the DOE</w:t>
            </w:r>
          </w:p>
          <w:p w14:paraId="6FE75B6D" w14:textId="77777777" w:rsidR="00531281" w:rsidRPr="00C64041" w:rsidRDefault="00531281" w:rsidP="00531281">
            <w:pPr>
              <w:jc w:val="both"/>
              <w:rPr>
                <w:rFonts w:ascii="Arial" w:hAnsi="Arial" w:cs="Arial"/>
                <w:sz w:val="24"/>
              </w:rPr>
            </w:pPr>
          </w:p>
          <w:p w14:paraId="19AB4868" w14:textId="77777777" w:rsidR="00531281" w:rsidRPr="00C64041" w:rsidRDefault="00531281" w:rsidP="00531281">
            <w:pPr>
              <w:pStyle w:val="ListParagraph"/>
              <w:ind w:left="1080"/>
              <w:jc w:val="both"/>
              <w:rPr>
                <w:rFonts w:ascii="Arial" w:hAnsi="Arial" w:cs="Arial"/>
              </w:rPr>
            </w:pPr>
            <w:r w:rsidRPr="00C64041">
              <w:rPr>
                <w:rFonts w:ascii="Arial" w:hAnsi="Arial" w:cs="Arial"/>
              </w:rPr>
              <w:t xml:space="preserve">For purposes of entitlement to the incentives and privileges under the Act, existing and new RE Developers, and manufacturers, fabricators, and suppliers of </w:t>
            </w:r>
            <w:proofErr w:type="gramStart"/>
            <w:r w:rsidRPr="00C64041">
              <w:rPr>
                <w:rFonts w:ascii="Arial" w:hAnsi="Arial" w:cs="Arial"/>
              </w:rPr>
              <w:t>locally-produced</w:t>
            </w:r>
            <w:proofErr w:type="gramEnd"/>
            <w:r w:rsidRPr="00C64041">
              <w:rPr>
                <w:rFonts w:ascii="Arial" w:hAnsi="Arial" w:cs="Arial"/>
              </w:rPr>
              <w:t xml:space="preserve"> RE shall register with the DOE, through the Renewable Energy Management Bureau (REMB). The following certifications shall be issued:</w:t>
            </w:r>
          </w:p>
          <w:p w14:paraId="5B056F28" w14:textId="77777777" w:rsidR="00531281" w:rsidRPr="00C64041" w:rsidRDefault="00531281" w:rsidP="00531281">
            <w:pPr>
              <w:pStyle w:val="ListParagraph"/>
              <w:jc w:val="both"/>
              <w:rPr>
                <w:rFonts w:ascii="Arial" w:hAnsi="Arial" w:cs="Arial"/>
              </w:rPr>
            </w:pPr>
          </w:p>
          <w:p w14:paraId="7A864644" w14:textId="77777777" w:rsidR="00531281" w:rsidRPr="00C64041" w:rsidRDefault="00531281" w:rsidP="00531281">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i/>
                <w:iCs/>
              </w:rPr>
            </w:pPr>
            <w:r w:rsidRPr="00C64041">
              <w:rPr>
                <w:rFonts w:ascii="Arial" w:hAnsi="Arial" w:cs="Arial"/>
                <w:i/>
                <w:iCs/>
              </w:rPr>
              <w:t xml:space="preserve">DOE Certificate of Registration — </w:t>
            </w:r>
            <w:r w:rsidRPr="00C64041">
              <w:rPr>
                <w:rFonts w:ascii="Arial" w:hAnsi="Arial" w:cs="Arial"/>
              </w:rPr>
              <w:t>Issued to an RE Developer holding a valid RE Service/Operating Contract.</w:t>
            </w:r>
          </w:p>
          <w:p w14:paraId="0C429EC2" w14:textId="77777777" w:rsidR="00531281" w:rsidRPr="00C64041" w:rsidRDefault="00531281" w:rsidP="00531281">
            <w:pPr>
              <w:pStyle w:val="ListParagraph"/>
              <w:ind w:left="1418"/>
              <w:jc w:val="both"/>
              <w:rPr>
                <w:rFonts w:ascii="Arial" w:hAnsi="Arial" w:cs="Arial"/>
                <w:i/>
                <w:iCs/>
              </w:rPr>
            </w:pPr>
          </w:p>
          <w:p w14:paraId="72D13C49" w14:textId="3F33F82B" w:rsidR="00531281" w:rsidRPr="00C64041" w:rsidRDefault="00531281" w:rsidP="00531281">
            <w:pPr>
              <w:pStyle w:val="ListParagraph"/>
              <w:ind w:left="1800"/>
              <w:jc w:val="both"/>
              <w:rPr>
                <w:rFonts w:ascii="Arial" w:hAnsi="Arial" w:cs="Arial"/>
              </w:rPr>
            </w:pPr>
            <w:r w:rsidRPr="00C64041">
              <w:rPr>
                <w:rFonts w:ascii="Arial" w:hAnsi="Arial" w:cs="Arial"/>
              </w:rPr>
              <w:tab/>
              <w:t>xxx</w:t>
            </w:r>
            <w:r w:rsidRPr="00C64041">
              <w:rPr>
                <w:rFonts w:ascii="Arial" w:hAnsi="Arial" w:cs="Arial"/>
              </w:rPr>
              <w:tab/>
            </w:r>
            <w:proofErr w:type="spellStart"/>
            <w:r w:rsidRPr="00C64041">
              <w:rPr>
                <w:rFonts w:ascii="Arial" w:hAnsi="Arial" w:cs="Arial"/>
              </w:rPr>
              <w:t>xxx</w:t>
            </w:r>
            <w:proofErr w:type="spellEnd"/>
            <w:r w:rsidRPr="00C64041">
              <w:rPr>
                <w:rFonts w:ascii="Arial" w:hAnsi="Arial" w:cs="Arial"/>
              </w:rPr>
              <w:tab/>
            </w:r>
            <w:proofErr w:type="spellStart"/>
            <w:r w:rsidRPr="00C64041">
              <w:rPr>
                <w:rFonts w:ascii="Arial" w:hAnsi="Arial" w:cs="Arial"/>
              </w:rPr>
              <w:t>xxx</w:t>
            </w:r>
            <w:proofErr w:type="spellEnd"/>
          </w:p>
          <w:p w14:paraId="6002A51E" w14:textId="77777777" w:rsidR="00531281" w:rsidRPr="00C64041" w:rsidRDefault="00531281" w:rsidP="00531281">
            <w:pPr>
              <w:ind w:left="698" w:firstLine="720"/>
              <w:jc w:val="both"/>
              <w:rPr>
                <w:rFonts w:ascii="Arial" w:hAnsi="Arial" w:cs="Arial"/>
                <w:sz w:val="24"/>
                <w:lang w:val="en-US"/>
              </w:rPr>
            </w:pPr>
          </w:p>
          <w:p w14:paraId="60855F9D" w14:textId="77777777" w:rsidR="00531281" w:rsidRPr="00C64041" w:rsidRDefault="00531281" w:rsidP="00531281">
            <w:pPr>
              <w:ind w:left="1418"/>
              <w:jc w:val="both"/>
              <w:rPr>
                <w:rFonts w:ascii="Arial" w:hAnsi="Arial" w:cs="Arial"/>
                <w:sz w:val="24"/>
              </w:rPr>
            </w:pPr>
            <w:r w:rsidRPr="00C64041">
              <w:rPr>
                <w:rFonts w:ascii="Arial" w:hAnsi="Arial" w:cs="Arial"/>
                <w:sz w:val="24"/>
              </w:rPr>
              <w:t>The DOE Certificate of Registration shall be issued immediately upon award of an RE Service/Operating Contract covering an existing or new RE project or upon approval of additional investment</w:t>
            </w:r>
            <w:r w:rsidRPr="00C64041">
              <w:rPr>
                <w:rFonts w:ascii="Arial" w:hAnsi="Arial" w:cs="Arial"/>
                <w:sz w:val="24"/>
                <w:u w:val="single"/>
              </w:rPr>
              <w:t xml:space="preserve">: </w:t>
            </w:r>
            <w:r w:rsidRPr="00C64041">
              <w:rPr>
                <w:rFonts w:ascii="Arial" w:hAnsi="Arial" w:cs="Arial"/>
                <w:i/>
                <w:iCs/>
                <w:sz w:val="24"/>
                <w:u w:val="single"/>
              </w:rPr>
              <w:t>Provided</w:t>
            </w:r>
            <w:r w:rsidRPr="00C64041">
              <w:rPr>
                <w:rFonts w:ascii="Arial" w:hAnsi="Arial" w:cs="Arial"/>
                <w:sz w:val="24"/>
                <w:u w:val="single"/>
              </w:rPr>
              <w:t>, That the Certificate of Registration may, at the option of the RE Developer, be issued upon receipt of proof of financial closing</w:t>
            </w:r>
            <w:r w:rsidRPr="00C64041">
              <w:rPr>
                <w:rFonts w:ascii="Arial" w:hAnsi="Arial" w:cs="Arial"/>
                <w:sz w:val="24"/>
              </w:rPr>
              <w:t>.</w:t>
            </w:r>
          </w:p>
          <w:p w14:paraId="77B20391" w14:textId="77777777" w:rsidR="00531281" w:rsidRPr="00C64041" w:rsidRDefault="00531281" w:rsidP="00531281">
            <w:pPr>
              <w:ind w:left="1418"/>
              <w:jc w:val="both"/>
              <w:rPr>
                <w:rFonts w:ascii="Arial" w:hAnsi="Arial" w:cs="Arial"/>
                <w:sz w:val="24"/>
              </w:rPr>
            </w:pPr>
          </w:p>
          <w:p w14:paraId="033FC359" w14:textId="11DEA4CE" w:rsidR="00531281" w:rsidRPr="00C64041" w:rsidRDefault="00531281" w:rsidP="00531281">
            <w:pPr>
              <w:ind w:left="2138" w:firstLine="22"/>
              <w:jc w:val="both"/>
              <w:rPr>
                <w:rFonts w:ascii="Arial" w:hAnsi="Arial" w:cs="Arial"/>
                <w:sz w:val="24"/>
                <w:lang w:val="en-US"/>
              </w:rPr>
            </w:pPr>
            <w:r w:rsidRPr="00C64041">
              <w:rPr>
                <w:rFonts w:ascii="Arial" w:hAnsi="Arial" w:cs="Arial"/>
                <w:sz w:val="24"/>
                <w:lang w:val="en-US"/>
              </w:rPr>
              <w:t>xxx</w:t>
            </w:r>
            <w:r w:rsidRPr="00C64041">
              <w:rPr>
                <w:rFonts w:ascii="Arial" w:hAnsi="Arial" w:cs="Arial"/>
                <w:sz w:val="24"/>
                <w:lang w:val="en-US"/>
              </w:rPr>
              <w:tab/>
            </w:r>
            <w:proofErr w:type="spellStart"/>
            <w:r w:rsidRPr="00C64041">
              <w:rPr>
                <w:rFonts w:ascii="Arial" w:hAnsi="Arial" w:cs="Arial"/>
                <w:sz w:val="24"/>
                <w:lang w:val="en-US"/>
              </w:rPr>
              <w:t>xxx</w:t>
            </w:r>
            <w:proofErr w:type="spellEnd"/>
            <w:r w:rsidRPr="00C64041">
              <w:rPr>
                <w:rFonts w:ascii="Arial" w:hAnsi="Arial" w:cs="Arial"/>
                <w:sz w:val="24"/>
                <w:lang w:val="en-US"/>
              </w:rPr>
              <w:tab/>
            </w:r>
            <w:proofErr w:type="spellStart"/>
            <w:r w:rsidRPr="00C64041">
              <w:rPr>
                <w:rFonts w:ascii="Arial" w:hAnsi="Arial" w:cs="Arial"/>
                <w:sz w:val="24"/>
                <w:lang w:val="en-US"/>
              </w:rPr>
              <w:t>xxx</w:t>
            </w:r>
            <w:proofErr w:type="spellEnd"/>
          </w:p>
          <w:p w14:paraId="13323C2E" w14:textId="77777777" w:rsidR="00531281" w:rsidRPr="00C64041" w:rsidRDefault="00531281" w:rsidP="005312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69"/>
              <w:contextualSpacing/>
              <w:jc w:val="both"/>
              <w:rPr>
                <w:rFonts w:ascii="Arial" w:hAnsi="Arial" w:cs="Arial"/>
                <w:i/>
                <w:iCs/>
              </w:rPr>
            </w:pPr>
          </w:p>
        </w:tc>
        <w:tc>
          <w:tcPr>
            <w:tcW w:w="4255" w:type="dxa"/>
          </w:tcPr>
          <w:p w14:paraId="093B7127" w14:textId="77777777" w:rsidR="00531281" w:rsidRPr="00531281" w:rsidRDefault="00531281" w:rsidP="00040EFE">
            <w:pPr>
              <w:jc w:val="center"/>
              <w:rPr>
                <w:rFonts w:ascii="Arial" w:hAnsi="Arial" w:cs="Arial"/>
                <w:b/>
                <w:bCs/>
                <w:color w:val="FF0000"/>
                <w:sz w:val="24"/>
                <w:szCs w:val="24"/>
              </w:rPr>
            </w:pPr>
          </w:p>
        </w:tc>
        <w:tc>
          <w:tcPr>
            <w:tcW w:w="3683" w:type="dxa"/>
          </w:tcPr>
          <w:p w14:paraId="4870A0BC" w14:textId="77777777" w:rsidR="00531281" w:rsidRPr="00531281" w:rsidRDefault="00531281" w:rsidP="00040EFE">
            <w:pPr>
              <w:jc w:val="center"/>
              <w:rPr>
                <w:rFonts w:ascii="Arial" w:hAnsi="Arial" w:cs="Arial"/>
                <w:b/>
                <w:bCs/>
                <w:color w:val="FF0000"/>
                <w:sz w:val="24"/>
                <w:szCs w:val="24"/>
              </w:rPr>
            </w:pPr>
          </w:p>
        </w:tc>
      </w:tr>
      <w:tr w:rsidR="00531281" w:rsidRPr="00531281" w14:paraId="26A0AD6D" w14:textId="77777777" w:rsidTr="7DB4BAA9">
        <w:trPr>
          <w:trHeight w:val="1015"/>
          <w:tblHeader/>
        </w:trPr>
        <w:tc>
          <w:tcPr>
            <w:tcW w:w="6799" w:type="dxa"/>
          </w:tcPr>
          <w:p w14:paraId="336A4CA2" w14:textId="77777777" w:rsidR="00531281" w:rsidRPr="00C64041" w:rsidRDefault="00531281" w:rsidP="00531281">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i/>
                <w:iCs/>
              </w:rPr>
            </w:pPr>
            <w:r w:rsidRPr="00C64041">
              <w:rPr>
                <w:rFonts w:ascii="Arial" w:hAnsi="Arial" w:cs="Arial"/>
                <w:i/>
                <w:iCs/>
              </w:rPr>
              <w:lastRenderedPageBreak/>
              <w:t>Registration with the Board of Investments</w:t>
            </w:r>
          </w:p>
          <w:p w14:paraId="100ABF64" w14:textId="77777777" w:rsidR="00531281" w:rsidRPr="00C64041" w:rsidRDefault="00531281" w:rsidP="00531281">
            <w:pPr>
              <w:pStyle w:val="ListParagraph"/>
              <w:ind w:left="1078"/>
              <w:jc w:val="both"/>
              <w:rPr>
                <w:rFonts w:ascii="Arial" w:hAnsi="Arial" w:cs="Arial"/>
                <w:i/>
                <w:iCs/>
              </w:rPr>
            </w:pPr>
          </w:p>
          <w:p w14:paraId="075D1F52" w14:textId="77777777" w:rsidR="00531281" w:rsidRPr="00C64041" w:rsidRDefault="00531281" w:rsidP="00531281">
            <w:pPr>
              <w:ind w:left="709"/>
              <w:jc w:val="both"/>
              <w:rPr>
                <w:rFonts w:ascii="Arial" w:hAnsi="Arial" w:cs="Arial"/>
                <w:sz w:val="24"/>
              </w:rPr>
            </w:pPr>
            <w:r w:rsidRPr="00C64041">
              <w:rPr>
                <w:rFonts w:ascii="Arial" w:hAnsi="Arial" w:cs="Arial"/>
                <w:sz w:val="24"/>
              </w:rPr>
              <w:t>The RE sector is hereby declared a priority investment sector that will regularly form part of the country’s Investment Priority Plan (IPP), unless declared otherwise by law.</w:t>
            </w:r>
          </w:p>
          <w:p w14:paraId="1A8744EA" w14:textId="77777777" w:rsidR="00531281" w:rsidRPr="00C64041" w:rsidRDefault="00531281" w:rsidP="00531281">
            <w:pPr>
              <w:ind w:left="709"/>
              <w:jc w:val="both"/>
              <w:rPr>
                <w:rFonts w:ascii="Arial" w:hAnsi="Arial" w:cs="Arial"/>
                <w:sz w:val="24"/>
              </w:rPr>
            </w:pPr>
          </w:p>
          <w:p w14:paraId="526B7A5B" w14:textId="79838F23" w:rsidR="00531281" w:rsidRPr="00C64041" w:rsidRDefault="00531281" w:rsidP="00531281">
            <w:pPr>
              <w:pStyle w:val="ListParagraph"/>
              <w:ind w:left="1440" w:firstLine="11"/>
              <w:jc w:val="both"/>
              <w:rPr>
                <w:rFonts w:ascii="Arial" w:hAnsi="Arial" w:cs="Arial"/>
              </w:rPr>
            </w:pPr>
            <w:r w:rsidRPr="00C64041">
              <w:rPr>
                <w:rFonts w:ascii="Arial" w:hAnsi="Arial" w:cs="Arial"/>
              </w:rPr>
              <w:t xml:space="preserve">          xxx</w:t>
            </w:r>
            <w:r w:rsidRPr="00C64041">
              <w:rPr>
                <w:rFonts w:ascii="Arial" w:hAnsi="Arial" w:cs="Arial"/>
              </w:rPr>
              <w:tab/>
            </w:r>
            <w:proofErr w:type="spellStart"/>
            <w:r w:rsidRPr="00C64041">
              <w:rPr>
                <w:rFonts w:ascii="Arial" w:hAnsi="Arial" w:cs="Arial"/>
              </w:rPr>
              <w:t>xxx</w:t>
            </w:r>
            <w:proofErr w:type="spellEnd"/>
            <w:r w:rsidRPr="00C64041">
              <w:rPr>
                <w:rFonts w:ascii="Arial" w:hAnsi="Arial" w:cs="Arial"/>
              </w:rPr>
              <w:tab/>
            </w:r>
            <w:proofErr w:type="spellStart"/>
            <w:r w:rsidRPr="00C64041">
              <w:rPr>
                <w:rFonts w:ascii="Arial" w:hAnsi="Arial" w:cs="Arial"/>
              </w:rPr>
              <w:t>xxx</w:t>
            </w:r>
            <w:proofErr w:type="spellEnd"/>
          </w:p>
          <w:p w14:paraId="0041DB7D" w14:textId="77777777" w:rsidR="00531281" w:rsidRPr="00C64041" w:rsidRDefault="00531281" w:rsidP="00531281">
            <w:pPr>
              <w:pStyle w:val="ListParagraph"/>
              <w:ind w:left="1080"/>
              <w:jc w:val="both"/>
              <w:rPr>
                <w:rFonts w:ascii="Arial" w:hAnsi="Arial" w:cs="Arial"/>
              </w:rPr>
            </w:pPr>
          </w:p>
          <w:p w14:paraId="798E097F" w14:textId="77777777" w:rsidR="00531281" w:rsidRPr="00C64041" w:rsidRDefault="00531281" w:rsidP="00531281">
            <w:pPr>
              <w:pStyle w:val="ListParagraph"/>
              <w:ind w:left="1080"/>
              <w:jc w:val="both"/>
              <w:rPr>
                <w:rFonts w:ascii="Arial" w:hAnsi="Arial" w:cs="Arial"/>
              </w:rPr>
            </w:pPr>
            <w:r w:rsidRPr="00C64041">
              <w:rPr>
                <w:rFonts w:ascii="Arial" w:hAnsi="Arial" w:cs="Arial"/>
              </w:rPr>
              <w:t xml:space="preserve">The registration with the BOI shall be carried out through an agreement and an administrative arrangement between the BOI and the DOE, with the end-view of facilitating the registration of qualified RE facilities. The applications for registration </w:t>
            </w:r>
            <w:r w:rsidRPr="00C64041">
              <w:rPr>
                <w:rFonts w:ascii="Arial" w:hAnsi="Arial" w:cs="Arial"/>
                <w:u w:val="single"/>
              </w:rPr>
              <w:t xml:space="preserve">and/or </w:t>
            </w:r>
            <w:proofErr w:type="spellStart"/>
            <w:r w:rsidRPr="00C64041">
              <w:rPr>
                <w:rFonts w:ascii="Arial" w:hAnsi="Arial" w:cs="Arial"/>
                <w:u w:val="single"/>
              </w:rPr>
              <w:t>availment</w:t>
            </w:r>
            <w:proofErr w:type="spellEnd"/>
            <w:r w:rsidRPr="00C64041">
              <w:rPr>
                <w:rFonts w:ascii="Arial" w:hAnsi="Arial" w:cs="Arial"/>
                <w:u w:val="single"/>
              </w:rPr>
              <w:t xml:space="preserve"> of incentives under the Act</w:t>
            </w:r>
            <w:r w:rsidRPr="00C64041">
              <w:rPr>
                <w:rFonts w:ascii="Arial" w:hAnsi="Arial" w:cs="Arial"/>
              </w:rPr>
              <w:t xml:space="preserve"> shall be favorably acted upon by the BOI, on the basis of the certification issued by the DOE</w:t>
            </w:r>
            <w:r w:rsidRPr="00C64041">
              <w:rPr>
                <w:rFonts w:ascii="Arial" w:hAnsi="Arial" w:cs="Arial"/>
                <w:u w:val="single"/>
              </w:rPr>
              <w:t xml:space="preserve">: </w:t>
            </w:r>
            <w:r w:rsidRPr="00C64041">
              <w:rPr>
                <w:rFonts w:ascii="Arial" w:hAnsi="Arial" w:cs="Arial"/>
                <w:i/>
                <w:iCs/>
                <w:u w:val="single"/>
              </w:rPr>
              <w:t>Provided</w:t>
            </w:r>
            <w:r w:rsidRPr="00C64041">
              <w:rPr>
                <w:rFonts w:ascii="Arial" w:hAnsi="Arial" w:cs="Arial"/>
                <w:u w:val="single"/>
              </w:rPr>
              <w:t xml:space="preserve">, </w:t>
            </w:r>
            <w:proofErr w:type="gramStart"/>
            <w:r w:rsidRPr="00C64041">
              <w:rPr>
                <w:rFonts w:ascii="Arial" w:hAnsi="Arial" w:cs="Arial"/>
                <w:u w:val="single"/>
              </w:rPr>
              <w:t>That</w:t>
            </w:r>
            <w:proofErr w:type="gramEnd"/>
            <w:r w:rsidRPr="00C64041">
              <w:rPr>
                <w:rFonts w:ascii="Arial" w:hAnsi="Arial" w:cs="Arial"/>
                <w:u w:val="single"/>
              </w:rPr>
              <w:t xml:space="preserve"> such certification is issued in accordance with the agreement between the DOE and BOI. For this purpose, the DOE and BOI shall review and/or revise, as necessary, their agreement and administrative arrangement within thirty (30) days from the </w:t>
            </w:r>
            <w:proofErr w:type="gramStart"/>
            <w:r w:rsidRPr="00C64041">
              <w:rPr>
                <w:rFonts w:ascii="Arial" w:hAnsi="Arial" w:cs="Arial"/>
                <w:u w:val="single"/>
              </w:rPr>
              <w:t>effectivity</w:t>
            </w:r>
            <w:proofErr w:type="gramEnd"/>
            <w:r w:rsidRPr="00C64041">
              <w:rPr>
                <w:rFonts w:ascii="Arial" w:hAnsi="Arial" w:cs="Arial"/>
                <w:u w:val="single"/>
              </w:rPr>
              <w:t xml:space="preserve"> of this Circular</w:t>
            </w:r>
            <w:r w:rsidRPr="00C64041">
              <w:rPr>
                <w:rFonts w:ascii="Arial" w:hAnsi="Arial" w:cs="Arial"/>
              </w:rPr>
              <w:t>.</w:t>
            </w:r>
          </w:p>
          <w:p w14:paraId="590F4B17" w14:textId="77777777" w:rsidR="00531281" w:rsidRPr="00C64041" w:rsidRDefault="00531281" w:rsidP="00531281">
            <w:pPr>
              <w:pStyle w:val="ListParagraph"/>
              <w:ind w:left="1080"/>
              <w:jc w:val="both"/>
              <w:rPr>
                <w:rFonts w:ascii="Arial" w:hAnsi="Arial" w:cs="Arial"/>
              </w:rPr>
            </w:pPr>
          </w:p>
          <w:p w14:paraId="3AC0A69E" w14:textId="0BDCA9B1" w:rsidR="00531281" w:rsidRPr="00C64041" w:rsidRDefault="00531281" w:rsidP="00531281">
            <w:pPr>
              <w:pStyle w:val="ListParagraph"/>
              <w:ind w:left="1440" w:firstLine="11"/>
              <w:jc w:val="both"/>
              <w:rPr>
                <w:rFonts w:ascii="Arial" w:hAnsi="Arial" w:cs="Arial"/>
              </w:rPr>
            </w:pPr>
            <w:r w:rsidRPr="00C64041">
              <w:rPr>
                <w:rFonts w:ascii="Arial" w:hAnsi="Arial" w:cs="Arial"/>
              </w:rPr>
              <w:tab/>
              <w:t>xxx</w:t>
            </w:r>
            <w:r w:rsidRPr="00C64041">
              <w:rPr>
                <w:rFonts w:ascii="Arial" w:hAnsi="Arial" w:cs="Arial"/>
              </w:rPr>
              <w:tab/>
            </w:r>
            <w:proofErr w:type="spellStart"/>
            <w:r w:rsidRPr="00C64041">
              <w:rPr>
                <w:rFonts w:ascii="Arial" w:hAnsi="Arial" w:cs="Arial"/>
              </w:rPr>
              <w:t>xxx</w:t>
            </w:r>
            <w:proofErr w:type="spellEnd"/>
            <w:r w:rsidRPr="00C64041">
              <w:rPr>
                <w:rFonts w:ascii="Arial" w:hAnsi="Arial" w:cs="Arial"/>
              </w:rPr>
              <w:tab/>
            </w:r>
            <w:proofErr w:type="spellStart"/>
            <w:r w:rsidRPr="00C64041">
              <w:rPr>
                <w:rFonts w:ascii="Arial" w:hAnsi="Arial" w:cs="Arial"/>
              </w:rPr>
              <w:t>xxx</w:t>
            </w:r>
            <w:proofErr w:type="spellEnd"/>
          </w:p>
          <w:p w14:paraId="4334B46F" w14:textId="77777777" w:rsidR="00531281" w:rsidRPr="00C64041" w:rsidRDefault="00531281" w:rsidP="0053128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360"/>
              <w:contextualSpacing/>
              <w:jc w:val="both"/>
              <w:rPr>
                <w:rFonts w:ascii="Arial" w:hAnsi="Arial" w:cs="Arial"/>
              </w:rPr>
            </w:pPr>
          </w:p>
        </w:tc>
        <w:tc>
          <w:tcPr>
            <w:tcW w:w="4255" w:type="dxa"/>
          </w:tcPr>
          <w:p w14:paraId="57FAD453" w14:textId="77777777" w:rsidR="00531281" w:rsidRPr="00531281" w:rsidRDefault="00531281" w:rsidP="00040EFE">
            <w:pPr>
              <w:jc w:val="center"/>
              <w:rPr>
                <w:rFonts w:ascii="Arial" w:hAnsi="Arial" w:cs="Arial"/>
                <w:b/>
                <w:bCs/>
                <w:color w:val="FF0000"/>
                <w:sz w:val="24"/>
                <w:szCs w:val="24"/>
              </w:rPr>
            </w:pPr>
          </w:p>
        </w:tc>
        <w:tc>
          <w:tcPr>
            <w:tcW w:w="3683" w:type="dxa"/>
          </w:tcPr>
          <w:p w14:paraId="4CB0685E" w14:textId="77777777" w:rsidR="00531281" w:rsidRPr="00531281" w:rsidRDefault="00531281" w:rsidP="00040EFE">
            <w:pPr>
              <w:jc w:val="center"/>
              <w:rPr>
                <w:rFonts w:ascii="Arial" w:hAnsi="Arial" w:cs="Arial"/>
                <w:b/>
                <w:bCs/>
                <w:color w:val="FF0000"/>
                <w:sz w:val="24"/>
                <w:szCs w:val="24"/>
              </w:rPr>
            </w:pPr>
          </w:p>
        </w:tc>
      </w:tr>
      <w:tr w:rsidR="00531281" w:rsidRPr="00531281" w14:paraId="60968996" w14:textId="77777777" w:rsidTr="7DB4BAA9">
        <w:trPr>
          <w:trHeight w:val="1015"/>
          <w:tblHeader/>
        </w:trPr>
        <w:tc>
          <w:tcPr>
            <w:tcW w:w="6799" w:type="dxa"/>
          </w:tcPr>
          <w:p w14:paraId="16B946EA" w14:textId="77777777" w:rsidR="00531281" w:rsidRPr="00C64041" w:rsidRDefault="00531281" w:rsidP="00531281">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i/>
                <w:iCs/>
              </w:rPr>
            </w:pPr>
            <w:r w:rsidRPr="00C64041">
              <w:rPr>
                <w:rFonts w:ascii="Arial" w:hAnsi="Arial" w:cs="Arial"/>
                <w:i/>
                <w:iCs/>
              </w:rPr>
              <w:lastRenderedPageBreak/>
              <w:t>Certificate of Endorsement by the DOE</w:t>
            </w:r>
          </w:p>
          <w:p w14:paraId="5CE22CA3" w14:textId="77777777" w:rsidR="00531281" w:rsidRPr="00C64041" w:rsidRDefault="00531281" w:rsidP="00531281">
            <w:pPr>
              <w:pStyle w:val="ListParagraph"/>
              <w:ind w:left="1078"/>
              <w:jc w:val="both"/>
              <w:rPr>
                <w:rFonts w:ascii="Arial" w:hAnsi="Arial" w:cs="Arial"/>
                <w:i/>
                <w:iCs/>
              </w:rPr>
            </w:pPr>
          </w:p>
          <w:p w14:paraId="6BD75ACE" w14:textId="77777777" w:rsidR="00531281" w:rsidRPr="00C64041" w:rsidRDefault="00531281" w:rsidP="00531281">
            <w:pPr>
              <w:ind w:left="1080"/>
              <w:jc w:val="both"/>
              <w:rPr>
                <w:rFonts w:ascii="Arial" w:hAnsi="Arial" w:cs="Arial"/>
                <w:b/>
                <w:bCs/>
                <w:sz w:val="24"/>
                <w:u w:val="single"/>
              </w:rPr>
            </w:pPr>
            <w:r w:rsidRPr="00C64041">
              <w:rPr>
                <w:rFonts w:ascii="Arial" w:hAnsi="Arial" w:cs="Arial"/>
                <w:sz w:val="24"/>
              </w:rPr>
              <w:t xml:space="preserve">RE Developers, and manufacturers, fabricators, and suppliers of </w:t>
            </w:r>
            <w:proofErr w:type="gramStart"/>
            <w:r w:rsidRPr="00C64041">
              <w:rPr>
                <w:rFonts w:ascii="Arial" w:hAnsi="Arial" w:cs="Arial"/>
                <w:sz w:val="24"/>
              </w:rPr>
              <w:t>locally-produced</w:t>
            </w:r>
            <w:proofErr w:type="gramEnd"/>
            <w:r w:rsidRPr="00C64041">
              <w:rPr>
                <w:rFonts w:ascii="Arial" w:hAnsi="Arial" w:cs="Arial"/>
                <w:sz w:val="24"/>
              </w:rPr>
              <w:t xml:space="preserve"> RE equipment shall be qualified to avail of the incentives provided for in the RE Act only after securing </w:t>
            </w:r>
            <w:r w:rsidRPr="00C64041">
              <w:rPr>
                <w:rFonts w:ascii="Arial" w:hAnsi="Arial" w:cs="Arial"/>
                <w:sz w:val="24"/>
                <w:u w:val="single"/>
              </w:rPr>
              <w:t>the following:</w:t>
            </w:r>
          </w:p>
          <w:p w14:paraId="3FC378C3" w14:textId="77777777" w:rsidR="00531281" w:rsidRPr="00C64041" w:rsidRDefault="00531281" w:rsidP="00531281">
            <w:pPr>
              <w:ind w:left="718"/>
              <w:jc w:val="both"/>
              <w:rPr>
                <w:rFonts w:ascii="Arial" w:hAnsi="Arial" w:cs="Arial"/>
                <w:sz w:val="24"/>
              </w:rPr>
            </w:pPr>
          </w:p>
          <w:p w14:paraId="48FCA848" w14:textId="77777777" w:rsidR="00531281" w:rsidRPr="00C64041" w:rsidRDefault="00531281" w:rsidP="00531281">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800"/>
              <w:contextualSpacing/>
              <w:jc w:val="both"/>
              <w:rPr>
                <w:rFonts w:ascii="Arial" w:hAnsi="Arial" w:cs="Arial"/>
                <w:i/>
                <w:iCs/>
                <w:u w:val="single"/>
              </w:rPr>
            </w:pPr>
            <w:r w:rsidRPr="00C64041">
              <w:rPr>
                <w:rFonts w:ascii="Arial" w:hAnsi="Arial" w:cs="Arial"/>
                <w:i/>
                <w:iCs/>
                <w:u w:val="single"/>
              </w:rPr>
              <w:t xml:space="preserve">ITH - </w:t>
            </w:r>
            <w:r w:rsidRPr="00C64041">
              <w:rPr>
                <w:rFonts w:ascii="Arial" w:hAnsi="Arial" w:cs="Arial"/>
                <w:u w:val="single"/>
              </w:rPr>
              <w:t xml:space="preserve">Certificate of Registration and RE Developer’s Certificate of Compliance or its equivalent duly issued by the </w:t>
            </w:r>
            <w:proofErr w:type="gramStart"/>
            <w:r w:rsidRPr="00C64041">
              <w:rPr>
                <w:rFonts w:ascii="Arial" w:hAnsi="Arial" w:cs="Arial"/>
                <w:u w:val="single"/>
              </w:rPr>
              <w:t>ERC</w:t>
            </w:r>
            <w:r w:rsidRPr="00C64041">
              <w:rPr>
                <w:rFonts w:ascii="Arial" w:hAnsi="Arial" w:cs="Arial"/>
              </w:rPr>
              <w:t>;</w:t>
            </w:r>
            <w:proofErr w:type="gramEnd"/>
          </w:p>
          <w:p w14:paraId="1FD0AB06" w14:textId="77777777" w:rsidR="00531281" w:rsidRPr="00C64041" w:rsidRDefault="00531281" w:rsidP="00531281">
            <w:pPr>
              <w:pStyle w:val="ListParagraph"/>
              <w:tabs>
                <w:tab w:val="left" w:pos="1701"/>
              </w:tabs>
              <w:ind w:left="1800"/>
              <w:jc w:val="both"/>
              <w:rPr>
                <w:rFonts w:ascii="Arial" w:hAnsi="Arial" w:cs="Arial"/>
                <w:i/>
                <w:iCs/>
                <w:u w:val="single"/>
              </w:rPr>
            </w:pPr>
          </w:p>
          <w:p w14:paraId="233DC8FE" w14:textId="77777777" w:rsidR="00531281" w:rsidRPr="00C64041" w:rsidRDefault="00531281" w:rsidP="00531281">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800"/>
              <w:contextualSpacing/>
              <w:jc w:val="both"/>
              <w:rPr>
                <w:rFonts w:ascii="Arial" w:hAnsi="Arial" w:cs="Arial"/>
                <w:i/>
                <w:iCs/>
                <w:u w:val="single"/>
              </w:rPr>
            </w:pPr>
            <w:r w:rsidRPr="00C64041">
              <w:rPr>
                <w:rFonts w:ascii="Arial" w:hAnsi="Arial" w:cs="Arial"/>
                <w:i/>
                <w:iCs/>
                <w:u w:val="single"/>
              </w:rPr>
              <w:t>Duty-free importation –</w:t>
            </w:r>
          </w:p>
          <w:p w14:paraId="14547A83" w14:textId="77777777" w:rsidR="00531281" w:rsidRPr="00C64041" w:rsidRDefault="00531281" w:rsidP="00531281">
            <w:pPr>
              <w:pStyle w:val="ListParagraph"/>
              <w:ind w:left="1800"/>
              <w:jc w:val="both"/>
              <w:rPr>
                <w:rFonts w:ascii="Arial" w:hAnsi="Arial" w:cs="Arial"/>
                <w:i/>
                <w:iCs/>
                <w:u w:val="single"/>
              </w:rPr>
            </w:pPr>
          </w:p>
          <w:p w14:paraId="07ECBCF3" w14:textId="77777777" w:rsidR="00531281" w:rsidRPr="00C64041" w:rsidRDefault="00531281" w:rsidP="0053128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Arial" w:hAnsi="Arial" w:cs="Arial"/>
              </w:rPr>
            </w:pPr>
            <w:r w:rsidRPr="00C64041">
              <w:rPr>
                <w:rFonts w:ascii="Arial" w:hAnsi="Arial" w:cs="Arial"/>
                <w:u w:val="single"/>
              </w:rPr>
              <w:t xml:space="preserve">RE project as proposed - </w:t>
            </w:r>
            <w:r w:rsidRPr="00C64041">
              <w:rPr>
                <w:rFonts w:ascii="Arial" w:hAnsi="Arial" w:cs="Arial"/>
              </w:rPr>
              <w:t xml:space="preserve">Certificate of Endorsement from the DOE, through the REMB, on a per transaction </w:t>
            </w:r>
            <w:proofErr w:type="gramStart"/>
            <w:r w:rsidRPr="00C64041">
              <w:rPr>
                <w:rFonts w:ascii="Arial" w:hAnsi="Arial" w:cs="Arial"/>
              </w:rPr>
              <w:t>basis</w:t>
            </w:r>
            <w:r w:rsidRPr="00C64041">
              <w:rPr>
                <w:rFonts w:ascii="Arial" w:hAnsi="Arial" w:cs="Arial"/>
                <w:u w:val="single"/>
              </w:rPr>
              <w:t>;</w:t>
            </w:r>
            <w:proofErr w:type="gramEnd"/>
            <w:r w:rsidRPr="00C64041">
              <w:rPr>
                <w:rFonts w:ascii="Arial" w:hAnsi="Arial" w:cs="Arial"/>
              </w:rPr>
              <w:t xml:space="preserve"> </w:t>
            </w:r>
          </w:p>
          <w:p w14:paraId="20196316" w14:textId="77777777" w:rsidR="00531281" w:rsidRPr="00C64041" w:rsidRDefault="00531281" w:rsidP="00531281">
            <w:pPr>
              <w:pStyle w:val="ListParagraph"/>
              <w:ind w:left="1843"/>
              <w:jc w:val="both"/>
              <w:rPr>
                <w:rFonts w:ascii="Arial" w:hAnsi="Arial" w:cs="Arial"/>
              </w:rPr>
            </w:pPr>
          </w:p>
          <w:p w14:paraId="08FB0E4C" w14:textId="77777777" w:rsidR="00531281" w:rsidRPr="00C64041" w:rsidRDefault="00531281" w:rsidP="0053128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Arial" w:hAnsi="Arial" w:cs="Arial"/>
              </w:rPr>
            </w:pPr>
            <w:r w:rsidRPr="00C64041">
              <w:rPr>
                <w:rFonts w:ascii="Arial" w:hAnsi="Arial" w:cs="Arial"/>
                <w:u w:val="single"/>
              </w:rPr>
              <w:t xml:space="preserve">New investment – RE Contract, Certificate of Registration for the new RE project and Certificate of Endorsement </w:t>
            </w:r>
            <w:r w:rsidRPr="00C64041">
              <w:rPr>
                <w:rFonts w:ascii="Arial" w:hAnsi="Arial" w:cs="Arial"/>
              </w:rPr>
              <w:t xml:space="preserve">from the DOE, through the REMB, on a per transaction </w:t>
            </w:r>
            <w:proofErr w:type="gramStart"/>
            <w:r w:rsidRPr="00C64041">
              <w:rPr>
                <w:rFonts w:ascii="Arial" w:hAnsi="Arial" w:cs="Arial"/>
              </w:rPr>
              <w:t>basis;</w:t>
            </w:r>
            <w:proofErr w:type="gramEnd"/>
          </w:p>
          <w:p w14:paraId="22604224" w14:textId="77777777" w:rsidR="00531281" w:rsidRPr="00C64041" w:rsidRDefault="00531281" w:rsidP="00531281">
            <w:pPr>
              <w:pStyle w:val="ListParagraph"/>
              <w:ind w:left="2160"/>
              <w:jc w:val="both"/>
              <w:rPr>
                <w:rFonts w:ascii="Arial" w:hAnsi="Arial" w:cs="Arial"/>
              </w:rPr>
            </w:pPr>
          </w:p>
          <w:p w14:paraId="61D63252" w14:textId="77777777" w:rsidR="00531281" w:rsidRPr="00C64041" w:rsidRDefault="00531281" w:rsidP="0053128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2160"/>
              <w:contextualSpacing/>
              <w:jc w:val="both"/>
              <w:rPr>
                <w:rFonts w:ascii="Arial" w:hAnsi="Arial" w:cs="Arial"/>
              </w:rPr>
            </w:pPr>
            <w:r w:rsidRPr="00C64041">
              <w:rPr>
                <w:rFonts w:ascii="Arial" w:hAnsi="Arial" w:cs="Arial"/>
                <w:u w:val="single"/>
              </w:rPr>
              <w:t xml:space="preserve">Additional investment – Certificate of Registration for the Additional Investment and Certificate of Endorsement </w:t>
            </w:r>
            <w:r w:rsidRPr="00C64041">
              <w:rPr>
                <w:rFonts w:ascii="Arial" w:hAnsi="Arial" w:cs="Arial"/>
              </w:rPr>
              <w:t xml:space="preserve">from the DOE, through the REMB, on a per transaction basis. </w:t>
            </w:r>
          </w:p>
          <w:p w14:paraId="60F3125F" w14:textId="77777777" w:rsidR="00531281" w:rsidRPr="00C64041" w:rsidRDefault="00531281" w:rsidP="005312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i/>
                <w:iCs/>
              </w:rPr>
            </w:pPr>
          </w:p>
        </w:tc>
        <w:tc>
          <w:tcPr>
            <w:tcW w:w="4255" w:type="dxa"/>
          </w:tcPr>
          <w:p w14:paraId="6814A72B" w14:textId="77777777" w:rsidR="00531281" w:rsidRPr="00531281" w:rsidRDefault="00531281" w:rsidP="00040EFE">
            <w:pPr>
              <w:jc w:val="center"/>
              <w:rPr>
                <w:rFonts w:ascii="Arial" w:hAnsi="Arial" w:cs="Arial"/>
                <w:b/>
                <w:bCs/>
                <w:color w:val="FF0000"/>
                <w:sz w:val="24"/>
                <w:szCs w:val="24"/>
              </w:rPr>
            </w:pPr>
          </w:p>
        </w:tc>
        <w:tc>
          <w:tcPr>
            <w:tcW w:w="3683" w:type="dxa"/>
          </w:tcPr>
          <w:p w14:paraId="7B5E0298" w14:textId="77777777" w:rsidR="00531281" w:rsidRPr="00531281" w:rsidRDefault="00531281" w:rsidP="00040EFE">
            <w:pPr>
              <w:jc w:val="center"/>
              <w:rPr>
                <w:rFonts w:ascii="Arial" w:hAnsi="Arial" w:cs="Arial"/>
                <w:b/>
                <w:bCs/>
                <w:color w:val="FF0000"/>
                <w:sz w:val="24"/>
                <w:szCs w:val="24"/>
              </w:rPr>
            </w:pPr>
          </w:p>
        </w:tc>
      </w:tr>
      <w:tr w:rsidR="00531281" w:rsidRPr="00531281" w14:paraId="526D5AAA" w14:textId="77777777" w:rsidTr="7DB4BAA9">
        <w:trPr>
          <w:trHeight w:val="1015"/>
          <w:tblHeader/>
        </w:trPr>
        <w:tc>
          <w:tcPr>
            <w:tcW w:w="6799" w:type="dxa"/>
          </w:tcPr>
          <w:p w14:paraId="659B0746" w14:textId="77777777" w:rsidR="00531281" w:rsidRPr="00C64041" w:rsidRDefault="00531281" w:rsidP="00531281">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800"/>
              <w:contextualSpacing/>
              <w:jc w:val="both"/>
              <w:rPr>
                <w:rFonts w:ascii="Arial" w:hAnsi="Arial" w:cs="Arial"/>
                <w:i/>
                <w:iCs/>
                <w:u w:val="single"/>
              </w:rPr>
            </w:pPr>
            <w:r w:rsidRPr="00C64041">
              <w:rPr>
                <w:rFonts w:ascii="Arial" w:hAnsi="Arial" w:cs="Arial"/>
                <w:i/>
                <w:iCs/>
                <w:u w:val="single"/>
              </w:rPr>
              <w:lastRenderedPageBreak/>
              <w:t xml:space="preserve">Special Realty Tax Rates on Equipment and Machinery – </w:t>
            </w:r>
            <w:r w:rsidRPr="00C64041">
              <w:rPr>
                <w:rFonts w:ascii="Arial" w:hAnsi="Arial" w:cs="Arial"/>
                <w:u w:val="single"/>
              </w:rPr>
              <w:t xml:space="preserve">Certification on RE equipment and machinery comprising the RE </w:t>
            </w:r>
            <w:proofErr w:type="gramStart"/>
            <w:r w:rsidRPr="00C64041">
              <w:rPr>
                <w:rFonts w:ascii="Arial" w:hAnsi="Arial" w:cs="Arial"/>
                <w:u w:val="single"/>
              </w:rPr>
              <w:t>facility;</w:t>
            </w:r>
            <w:proofErr w:type="gramEnd"/>
          </w:p>
          <w:p w14:paraId="0772F17C" w14:textId="77777777" w:rsidR="00531281" w:rsidRPr="00C64041" w:rsidRDefault="00531281" w:rsidP="00531281">
            <w:pPr>
              <w:tabs>
                <w:tab w:val="left" w:pos="1701"/>
              </w:tabs>
              <w:ind w:left="1058"/>
              <w:jc w:val="both"/>
              <w:rPr>
                <w:rFonts w:ascii="Arial" w:hAnsi="Arial" w:cs="Arial"/>
                <w:i/>
                <w:iCs/>
                <w:sz w:val="24"/>
                <w:u w:val="single"/>
              </w:rPr>
            </w:pPr>
          </w:p>
          <w:p w14:paraId="5FA6C87C" w14:textId="77777777" w:rsidR="00531281" w:rsidRPr="00C64041" w:rsidRDefault="00531281" w:rsidP="00531281">
            <w:pPr>
              <w:tabs>
                <w:tab w:val="left" w:pos="1701"/>
              </w:tabs>
              <w:ind w:left="1800"/>
              <w:jc w:val="both"/>
              <w:rPr>
                <w:rFonts w:ascii="Arial" w:hAnsi="Arial" w:cs="Arial"/>
                <w:sz w:val="24"/>
              </w:rPr>
            </w:pPr>
            <w:r w:rsidRPr="00C64041">
              <w:rPr>
                <w:rFonts w:ascii="Arial" w:hAnsi="Arial" w:cs="Arial"/>
                <w:sz w:val="24"/>
                <w:u w:val="single"/>
              </w:rPr>
              <w:t>No certification shall be required to avail of the other incentives and benefits under the Act but the RE Developer shall comply with the requirements of the concerned government agencies</w:t>
            </w:r>
            <w:r w:rsidRPr="00C64041">
              <w:rPr>
                <w:rFonts w:ascii="Arial" w:hAnsi="Arial" w:cs="Arial"/>
                <w:sz w:val="24"/>
              </w:rPr>
              <w:t>.</w:t>
            </w:r>
          </w:p>
          <w:p w14:paraId="09EE01D2" w14:textId="77777777" w:rsidR="00531281" w:rsidRPr="00531281" w:rsidRDefault="00531281" w:rsidP="005312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Arial" w:hAnsi="Arial" w:cs="Arial"/>
                <w:i/>
                <w:iCs/>
                <w:lang w:val="en-PH"/>
              </w:rPr>
            </w:pPr>
          </w:p>
        </w:tc>
        <w:tc>
          <w:tcPr>
            <w:tcW w:w="4255" w:type="dxa"/>
          </w:tcPr>
          <w:p w14:paraId="0AC87B22" w14:textId="77777777" w:rsidR="00531281" w:rsidRPr="00531281" w:rsidRDefault="00531281" w:rsidP="00040EFE">
            <w:pPr>
              <w:jc w:val="center"/>
              <w:rPr>
                <w:rFonts w:ascii="Arial" w:hAnsi="Arial" w:cs="Arial"/>
                <w:b/>
                <w:bCs/>
                <w:color w:val="FF0000"/>
                <w:sz w:val="24"/>
                <w:szCs w:val="24"/>
              </w:rPr>
            </w:pPr>
          </w:p>
        </w:tc>
        <w:tc>
          <w:tcPr>
            <w:tcW w:w="3683" w:type="dxa"/>
          </w:tcPr>
          <w:p w14:paraId="48287069" w14:textId="77777777" w:rsidR="00531281" w:rsidRPr="00531281" w:rsidRDefault="00531281" w:rsidP="00040EFE">
            <w:pPr>
              <w:jc w:val="center"/>
              <w:rPr>
                <w:rFonts w:ascii="Arial" w:hAnsi="Arial" w:cs="Arial"/>
                <w:b/>
                <w:bCs/>
                <w:color w:val="FF0000"/>
                <w:sz w:val="24"/>
                <w:szCs w:val="24"/>
              </w:rPr>
            </w:pPr>
          </w:p>
        </w:tc>
      </w:tr>
      <w:tr w:rsidR="00531281" w:rsidRPr="00531281" w14:paraId="0A1ABB94" w14:textId="77777777" w:rsidTr="7DB4BAA9">
        <w:trPr>
          <w:trHeight w:val="1015"/>
          <w:tblHeader/>
        </w:trPr>
        <w:tc>
          <w:tcPr>
            <w:tcW w:w="6799" w:type="dxa"/>
          </w:tcPr>
          <w:p w14:paraId="7DC6D82E" w14:textId="77777777" w:rsidR="00531281" w:rsidRPr="00C64041" w:rsidRDefault="00531281" w:rsidP="00531281">
            <w:pPr>
              <w:ind w:left="1024"/>
              <w:jc w:val="both"/>
              <w:rPr>
                <w:rFonts w:ascii="Arial" w:hAnsi="Arial" w:cs="Arial"/>
                <w:sz w:val="24"/>
              </w:rPr>
            </w:pPr>
            <w:r w:rsidRPr="00C64041">
              <w:rPr>
                <w:rFonts w:ascii="Arial" w:hAnsi="Arial" w:cs="Arial"/>
                <w:sz w:val="24"/>
              </w:rPr>
              <w:t xml:space="preserve">The DOE, through the REMB, shall issue said certification within fifteen (15) days upon request of the RE Developer or manufacturer, fabricator, and supplier of locally-produced RE equipment: </w:t>
            </w:r>
            <w:r w:rsidRPr="00C64041">
              <w:rPr>
                <w:rFonts w:ascii="Arial" w:hAnsi="Arial" w:cs="Arial"/>
                <w:i/>
                <w:iCs/>
                <w:sz w:val="24"/>
                <w:u w:val="single"/>
              </w:rPr>
              <w:t xml:space="preserve">Provided, </w:t>
            </w:r>
            <w:r w:rsidRPr="00C64041">
              <w:rPr>
                <w:rFonts w:ascii="Arial" w:hAnsi="Arial" w:cs="Arial"/>
                <w:sz w:val="24"/>
                <w:u w:val="single"/>
              </w:rPr>
              <w:t xml:space="preserve">That the request is filed with all documents required under prevailing regulations of the DOE: </w:t>
            </w:r>
            <w:r w:rsidRPr="00C64041">
              <w:rPr>
                <w:rFonts w:ascii="Arial" w:hAnsi="Arial" w:cs="Arial"/>
                <w:i/>
                <w:iCs/>
                <w:sz w:val="24"/>
                <w:u w:val="single"/>
              </w:rPr>
              <w:t>Provided, further,</w:t>
            </w:r>
            <w:r w:rsidRPr="00C64041">
              <w:rPr>
                <w:rFonts w:ascii="Arial" w:hAnsi="Arial" w:cs="Arial"/>
                <w:sz w:val="24"/>
              </w:rPr>
              <w:t xml:space="preserve"> That the certification issued by the DOE shall be without prejudice to any further requirements that may be imposed by the government agencies tasked with the administration of the fiscal incentives mentioned under Rule 5 of this IRR.</w:t>
            </w:r>
          </w:p>
          <w:p w14:paraId="506047A2" w14:textId="77777777" w:rsidR="00531281" w:rsidRPr="00C64041" w:rsidRDefault="00531281" w:rsidP="00531281">
            <w:pPr>
              <w:jc w:val="both"/>
              <w:rPr>
                <w:rFonts w:ascii="Arial" w:hAnsi="Arial" w:cs="Arial"/>
                <w:sz w:val="24"/>
              </w:rPr>
            </w:pPr>
          </w:p>
          <w:p w14:paraId="18A8F37C" w14:textId="77777777" w:rsidR="00531281" w:rsidRPr="00C64041" w:rsidRDefault="00531281" w:rsidP="00531281">
            <w:pPr>
              <w:ind w:left="1440"/>
              <w:jc w:val="both"/>
              <w:rPr>
                <w:rFonts w:ascii="Arial" w:hAnsi="Arial" w:cs="Arial"/>
                <w:sz w:val="24"/>
                <w:u w:val="single"/>
              </w:rPr>
            </w:pPr>
            <w:r w:rsidRPr="00C64041">
              <w:rPr>
                <w:rFonts w:ascii="Arial" w:hAnsi="Arial" w:cs="Arial"/>
                <w:sz w:val="24"/>
                <w:u w:val="single"/>
              </w:rPr>
              <w:t xml:space="preserve">The DOE may recall, withdraw or revoke any certification issued hereunder if: </w:t>
            </w:r>
          </w:p>
          <w:p w14:paraId="2491A986" w14:textId="77777777" w:rsidR="00531281" w:rsidRPr="00C64041" w:rsidRDefault="00531281" w:rsidP="00531281">
            <w:pPr>
              <w:jc w:val="both"/>
              <w:rPr>
                <w:rFonts w:ascii="Arial" w:hAnsi="Arial" w:cs="Arial"/>
                <w:sz w:val="24"/>
                <w:u w:val="single"/>
              </w:rPr>
            </w:pPr>
          </w:p>
          <w:p w14:paraId="03214C7B" w14:textId="77777777" w:rsidR="00531281" w:rsidRPr="00C64041" w:rsidRDefault="00531281" w:rsidP="00531281">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u w:val="single"/>
              </w:rPr>
            </w:pPr>
            <w:r w:rsidRPr="00C64041">
              <w:rPr>
                <w:rFonts w:ascii="Arial" w:hAnsi="Arial" w:cs="Arial"/>
                <w:u w:val="single"/>
              </w:rPr>
              <w:t>The RE Service/Operating Contract covering the registered RE project is terminated with finality; or</w:t>
            </w:r>
          </w:p>
          <w:p w14:paraId="2F7FB325" w14:textId="77777777" w:rsidR="00531281" w:rsidRPr="00C64041" w:rsidRDefault="00531281" w:rsidP="00531281">
            <w:pPr>
              <w:pStyle w:val="ListParagraph"/>
              <w:ind w:left="1800"/>
              <w:jc w:val="both"/>
              <w:rPr>
                <w:rFonts w:ascii="Arial" w:hAnsi="Arial" w:cs="Arial"/>
                <w:u w:val="single"/>
              </w:rPr>
            </w:pPr>
          </w:p>
          <w:p w14:paraId="51086F94" w14:textId="77777777" w:rsidR="00531281" w:rsidRPr="00C64041" w:rsidRDefault="00531281" w:rsidP="00531281">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Arial" w:hAnsi="Arial" w:cs="Arial"/>
              </w:rPr>
            </w:pPr>
            <w:r w:rsidRPr="00C64041">
              <w:rPr>
                <w:rFonts w:ascii="Arial" w:hAnsi="Arial" w:cs="Arial"/>
                <w:u w:val="single"/>
              </w:rPr>
              <w:t>The RE Developer commits any of the acts prohibited under the Act and this IRR.</w:t>
            </w:r>
          </w:p>
          <w:p w14:paraId="2F3E6C38" w14:textId="77777777" w:rsidR="00531281" w:rsidRPr="00C64041" w:rsidRDefault="00531281" w:rsidP="0053128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800"/>
              <w:contextualSpacing/>
              <w:jc w:val="both"/>
              <w:rPr>
                <w:rFonts w:ascii="Arial" w:hAnsi="Arial" w:cs="Arial"/>
                <w:i/>
                <w:iCs/>
                <w:u w:val="single"/>
              </w:rPr>
            </w:pPr>
          </w:p>
        </w:tc>
        <w:tc>
          <w:tcPr>
            <w:tcW w:w="4255" w:type="dxa"/>
          </w:tcPr>
          <w:p w14:paraId="08CA7B03" w14:textId="77777777" w:rsidR="00531281" w:rsidRPr="00531281" w:rsidRDefault="00531281" w:rsidP="00040EFE">
            <w:pPr>
              <w:jc w:val="center"/>
              <w:rPr>
                <w:rFonts w:ascii="Arial" w:hAnsi="Arial" w:cs="Arial"/>
                <w:b/>
                <w:bCs/>
                <w:color w:val="FF0000"/>
                <w:sz w:val="24"/>
                <w:szCs w:val="24"/>
              </w:rPr>
            </w:pPr>
          </w:p>
        </w:tc>
        <w:tc>
          <w:tcPr>
            <w:tcW w:w="3683" w:type="dxa"/>
          </w:tcPr>
          <w:p w14:paraId="5ADDCD52" w14:textId="77777777" w:rsidR="00531281" w:rsidRPr="00531281" w:rsidRDefault="00531281" w:rsidP="00040EFE">
            <w:pPr>
              <w:jc w:val="center"/>
              <w:rPr>
                <w:rFonts w:ascii="Arial" w:hAnsi="Arial" w:cs="Arial"/>
                <w:b/>
                <w:bCs/>
                <w:color w:val="FF0000"/>
                <w:sz w:val="24"/>
                <w:szCs w:val="24"/>
              </w:rPr>
            </w:pPr>
          </w:p>
        </w:tc>
      </w:tr>
      <w:tr w:rsidR="00531281" w:rsidRPr="00531281" w14:paraId="23577C07" w14:textId="77777777" w:rsidTr="7DB4BAA9">
        <w:trPr>
          <w:trHeight w:val="1015"/>
          <w:tblHeader/>
        </w:trPr>
        <w:tc>
          <w:tcPr>
            <w:tcW w:w="6799" w:type="dxa"/>
          </w:tcPr>
          <w:p w14:paraId="5A4C2B0F" w14:textId="77777777" w:rsidR="00531281" w:rsidRPr="00C64041" w:rsidRDefault="00531281" w:rsidP="0053128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426" w:firstLine="0"/>
              <w:contextualSpacing/>
              <w:jc w:val="both"/>
              <w:rPr>
                <w:rFonts w:ascii="Arial" w:hAnsi="Arial" w:cs="Arial"/>
              </w:rPr>
            </w:pPr>
            <w:r w:rsidRPr="00C64041">
              <w:rPr>
                <w:rFonts w:ascii="Arial" w:hAnsi="Arial" w:cs="Arial"/>
                <w:b/>
                <w:bCs/>
              </w:rPr>
              <w:lastRenderedPageBreak/>
              <w:t>Separability Clause</w:t>
            </w:r>
            <w:r w:rsidRPr="00C64041">
              <w:rPr>
                <w:rFonts w:ascii="Arial" w:hAnsi="Arial" w:cs="Arial"/>
              </w:rPr>
              <w:t>. If any provision of this Circular is declared invalid or unconstitutional, the other provisions not affected thereby shall remain valid and existing.</w:t>
            </w:r>
          </w:p>
          <w:p w14:paraId="371CD3DD" w14:textId="77777777" w:rsidR="00531281" w:rsidRPr="00C64041" w:rsidRDefault="00531281" w:rsidP="00531281">
            <w:pPr>
              <w:pStyle w:val="ListParagraph"/>
              <w:tabs>
                <w:tab w:val="left" w:pos="1560"/>
              </w:tabs>
              <w:ind w:left="306"/>
              <w:jc w:val="both"/>
              <w:rPr>
                <w:rFonts w:ascii="Arial" w:hAnsi="Arial" w:cs="Arial"/>
              </w:rPr>
            </w:pPr>
          </w:p>
          <w:p w14:paraId="67F890F6" w14:textId="77777777" w:rsidR="00531281" w:rsidRPr="00C64041" w:rsidRDefault="00531281" w:rsidP="0053128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ind w:left="392" w:firstLine="0"/>
              <w:contextualSpacing/>
              <w:jc w:val="both"/>
              <w:rPr>
                <w:rFonts w:ascii="Arial" w:hAnsi="Arial" w:cs="Arial"/>
              </w:rPr>
            </w:pPr>
            <w:r w:rsidRPr="00C64041">
              <w:rPr>
                <w:rFonts w:ascii="Arial" w:hAnsi="Arial" w:cs="Arial"/>
              </w:rPr>
              <w:t xml:space="preserve"> </w:t>
            </w:r>
            <w:r w:rsidRPr="00C64041">
              <w:rPr>
                <w:rFonts w:ascii="Arial" w:hAnsi="Arial" w:cs="Arial"/>
                <w:b/>
                <w:bCs/>
              </w:rPr>
              <w:t xml:space="preserve">Repealing Clause. </w:t>
            </w:r>
            <w:r w:rsidRPr="00C64041">
              <w:rPr>
                <w:rFonts w:ascii="Arial" w:hAnsi="Arial" w:cs="Arial"/>
              </w:rPr>
              <w:t xml:space="preserve">Other issuances inconsistent with the provisions of this Circular are hereby repealed, amended or modified accordingly. </w:t>
            </w:r>
          </w:p>
          <w:p w14:paraId="45DE18BD" w14:textId="77777777" w:rsidR="00531281" w:rsidRPr="00C64041" w:rsidRDefault="00531281" w:rsidP="00531281">
            <w:pPr>
              <w:pStyle w:val="ListParagraph"/>
              <w:rPr>
                <w:rFonts w:ascii="Arial" w:hAnsi="Arial" w:cs="Arial"/>
              </w:rPr>
            </w:pPr>
          </w:p>
          <w:p w14:paraId="7467EFA9" w14:textId="77777777" w:rsidR="00531281" w:rsidRPr="00C64041" w:rsidRDefault="00531281" w:rsidP="0053128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1652"/>
              </w:tabs>
              <w:ind w:left="392" w:firstLine="0"/>
              <w:contextualSpacing/>
              <w:jc w:val="both"/>
              <w:rPr>
                <w:rFonts w:ascii="Arial" w:hAnsi="Arial" w:cs="Arial"/>
              </w:rPr>
            </w:pPr>
            <w:r w:rsidRPr="00C64041">
              <w:rPr>
                <w:rFonts w:ascii="Arial" w:hAnsi="Arial" w:cs="Arial"/>
                <w:b/>
                <w:bCs/>
              </w:rPr>
              <w:t xml:space="preserve">Effectivity. </w:t>
            </w:r>
            <w:r w:rsidRPr="00C64041">
              <w:rPr>
                <w:rFonts w:ascii="Arial" w:hAnsi="Arial" w:cs="Arial"/>
              </w:rPr>
              <w:t xml:space="preserve">This Circular shall take effect fifteen (15) days following its publication in two (2) newspapers of general circulation and filing with the University of the Philippines Law Center – Office of the National Administrative Register. </w:t>
            </w:r>
          </w:p>
          <w:p w14:paraId="5F40CC01" w14:textId="77777777" w:rsidR="00531281" w:rsidRPr="00531281" w:rsidRDefault="00531281" w:rsidP="00531281">
            <w:pPr>
              <w:ind w:left="1024"/>
              <w:jc w:val="both"/>
              <w:rPr>
                <w:rFonts w:ascii="Arial" w:hAnsi="Arial" w:cs="Arial"/>
                <w:sz w:val="24"/>
                <w:lang w:val="en-US"/>
              </w:rPr>
            </w:pPr>
          </w:p>
        </w:tc>
        <w:tc>
          <w:tcPr>
            <w:tcW w:w="4255" w:type="dxa"/>
          </w:tcPr>
          <w:p w14:paraId="53DF3348" w14:textId="77777777" w:rsidR="00531281" w:rsidRPr="00531281" w:rsidRDefault="00531281" w:rsidP="00040EFE">
            <w:pPr>
              <w:jc w:val="center"/>
              <w:rPr>
                <w:rFonts w:ascii="Arial" w:hAnsi="Arial" w:cs="Arial"/>
                <w:b/>
                <w:bCs/>
                <w:color w:val="FF0000"/>
                <w:sz w:val="24"/>
                <w:szCs w:val="24"/>
              </w:rPr>
            </w:pPr>
          </w:p>
        </w:tc>
        <w:tc>
          <w:tcPr>
            <w:tcW w:w="3683" w:type="dxa"/>
          </w:tcPr>
          <w:p w14:paraId="34BF20BB" w14:textId="77777777" w:rsidR="00531281" w:rsidRPr="00531281" w:rsidRDefault="00531281" w:rsidP="00040EFE">
            <w:pPr>
              <w:jc w:val="center"/>
              <w:rPr>
                <w:rFonts w:ascii="Arial" w:hAnsi="Arial" w:cs="Arial"/>
                <w:b/>
                <w:bCs/>
                <w:color w:val="FF0000"/>
                <w:sz w:val="24"/>
                <w:szCs w:val="24"/>
              </w:rPr>
            </w:pPr>
          </w:p>
        </w:tc>
      </w:tr>
    </w:tbl>
    <w:p w14:paraId="48F32E0E" w14:textId="77777777" w:rsidR="008C10E1" w:rsidRPr="00531281" w:rsidRDefault="008C10E1">
      <w:pPr>
        <w:rPr>
          <w:rFonts w:ascii="Arial" w:hAnsi="Arial" w:cs="Arial"/>
          <w:color w:val="FF0000"/>
          <w:sz w:val="24"/>
          <w:szCs w:val="24"/>
        </w:rPr>
      </w:pPr>
    </w:p>
    <w:sectPr w:rsidR="008C10E1" w:rsidRPr="00531281" w:rsidSect="00B473B2">
      <w:headerReference w:type="default" r:id="rId1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CA5F3" w14:textId="77777777" w:rsidR="00E029BC" w:rsidRDefault="00E029BC" w:rsidP="00040EFE">
      <w:pPr>
        <w:spacing w:after="0" w:line="240" w:lineRule="auto"/>
      </w:pPr>
      <w:r>
        <w:separator/>
      </w:r>
    </w:p>
  </w:endnote>
  <w:endnote w:type="continuationSeparator" w:id="0">
    <w:p w14:paraId="1A3279AA" w14:textId="77777777" w:rsidR="00E029BC" w:rsidRDefault="00E029BC"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4A3ED" w14:textId="77777777" w:rsidR="00E029BC" w:rsidRDefault="00E029BC" w:rsidP="00040EFE">
      <w:pPr>
        <w:spacing w:after="0" w:line="240" w:lineRule="auto"/>
      </w:pPr>
      <w:r>
        <w:separator/>
      </w:r>
    </w:p>
  </w:footnote>
  <w:footnote w:type="continuationSeparator" w:id="0">
    <w:p w14:paraId="3928B764" w14:textId="77777777" w:rsidR="00E029BC" w:rsidRDefault="00E029BC"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AB8E" w14:textId="3DEB0B8F" w:rsidR="007B3274" w:rsidRPr="00542BF4" w:rsidRDefault="00040EFE" w:rsidP="004D719F">
    <w:pPr>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0" w:name="_Hlk106964847"/>
    <w:r w:rsidR="00542BF4" w:rsidRPr="00542BF4">
      <w:rPr>
        <w:rFonts w:ascii="Arial" w:hAnsi="Arial" w:cs="Arial"/>
        <w:b/>
        <w:bCs/>
      </w:rPr>
      <w:t>“</w:t>
    </w:r>
    <w:r w:rsidR="004D719F" w:rsidRPr="004D719F">
      <w:rPr>
        <w:rFonts w:ascii="Arial" w:hAnsi="Arial" w:cs="Arial"/>
        <w:b/>
        <w:bCs/>
        <w:lang w:val="en-US"/>
      </w:rPr>
      <w:t>PRESCRIBING AMENDMENTS TO</w:t>
    </w:r>
    <w:r w:rsidR="004D719F" w:rsidRPr="004D719F">
      <w:rPr>
        <w:rFonts w:ascii="Arial" w:hAnsi="Arial" w:cs="Arial"/>
        <w:b/>
        <w:bCs/>
        <w:lang w:val="en-US"/>
      </w:rPr>
      <w:t xml:space="preserve"> </w:t>
    </w:r>
    <w:r w:rsidR="004D719F" w:rsidRPr="004D719F">
      <w:rPr>
        <w:rFonts w:ascii="Arial" w:hAnsi="Arial" w:cs="Arial"/>
        <w:b/>
        <w:bCs/>
        <w:lang w:val="en-US"/>
      </w:rPr>
      <w:t>DEPARTMENT CIRCULAR NO. DC2009-05-0008 TITLED,</w:t>
    </w:r>
    <w:r w:rsidR="004D719F" w:rsidRPr="004D719F">
      <w:rPr>
        <w:rFonts w:ascii="Arial" w:hAnsi="Arial" w:cs="Arial"/>
        <w:b/>
        <w:bCs/>
        <w:lang w:val="en-US"/>
      </w:rPr>
      <w:t xml:space="preserve"> </w:t>
    </w:r>
    <w:r w:rsidR="004D719F" w:rsidRPr="004D719F">
      <w:rPr>
        <w:rFonts w:ascii="Arial" w:hAnsi="Arial" w:cs="Arial"/>
        <w:b/>
        <w:bCs/>
        <w:lang w:val="en-US"/>
      </w:rPr>
      <w:t>RULES AND REGULATIONS IMPLEMENTING REPUBLIC ACT NO. 9513, OTHERWISE KNOWN AS THE “RENEWABLE ENERGY ACT OF 2008</w:t>
    </w:r>
    <w:r w:rsidR="00542BF4" w:rsidRPr="00542BF4">
      <w:rPr>
        <w:rFonts w:ascii="Arial" w:hAnsi="Arial" w:cs="Arial"/>
        <w:b/>
        <w:bCs/>
      </w:rPr>
      <w:t>”</w:t>
    </w:r>
  </w:p>
  <w:bookmarkEnd w:id="0"/>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746084"/>
    <w:multiLevelType w:val="hybridMultilevel"/>
    <w:tmpl w:val="8102C2A0"/>
    <w:lvl w:ilvl="0" w:tplc="1BE46904">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996996"/>
    <w:multiLevelType w:val="hybridMultilevel"/>
    <w:tmpl w:val="9ECA3526"/>
    <w:lvl w:ilvl="0" w:tplc="60A646F6">
      <w:start w:val="1"/>
      <w:numFmt w:val="decimal"/>
      <w:lvlText w:val="(%1)"/>
      <w:lvlJc w:val="left"/>
      <w:pPr>
        <w:ind w:left="1078" w:hanging="360"/>
      </w:pPr>
      <w:rPr>
        <w:rFonts w:hint="default"/>
        <w:u w:val="singl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7"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8"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2"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3" w15:restartNumberingAfterBreak="0">
    <w:nsid w:val="1AAD1DFB"/>
    <w:multiLevelType w:val="hybridMultilevel"/>
    <w:tmpl w:val="AC00ED6A"/>
    <w:lvl w:ilvl="0" w:tplc="EA1E3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6"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75F22E5"/>
    <w:multiLevelType w:val="hybridMultilevel"/>
    <w:tmpl w:val="C0BECBF6"/>
    <w:lvl w:ilvl="0" w:tplc="868AC92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20" w15:restartNumberingAfterBreak="0">
    <w:nsid w:val="2A75072D"/>
    <w:multiLevelType w:val="hybridMultilevel"/>
    <w:tmpl w:val="DBD4106E"/>
    <w:lvl w:ilvl="0" w:tplc="972C1870">
      <w:start w:val="1"/>
      <w:numFmt w:val="decimal"/>
      <w:lvlText w:val="Section %1."/>
      <w:lvlJc w:val="left"/>
      <w:pPr>
        <w:ind w:left="306" w:hanging="360"/>
      </w:pPr>
      <w:rPr>
        <w:rFonts w:hint="default"/>
        <w:b/>
        <w:bCs/>
      </w:rPr>
    </w:lvl>
    <w:lvl w:ilvl="1" w:tplc="04090019">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21"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2"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3" w15:restartNumberingAfterBreak="0">
    <w:nsid w:val="358624C3"/>
    <w:multiLevelType w:val="hybridMultilevel"/>
    <w:tmpl w:val="657A9178"/>
    <w:lvl w:ilvl="0" w:tplc="EDC8CB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5"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8"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31" w15:restartNumberingAfterBreak="0">
    <w:nsid w:val="50CF67FF"/>
    <w:multiLevelType w:val="hybridMultilevel"/>
    <w:tmpl w:val="72CA42F8"/>
    <w:lvl w:ilvl="0" w:tplc="12CA5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DB0194"/>
    <w:multiLevelType w:val="hybridMultilevel"/>
    <w:tmpl w:val="10A4A374"/>
    <w:lvl w:ilvl="0" w:tplc="0BE83512">
      <w:start w:val="1"/>
      <w:numFmt w:val="lowerLetter"/>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36"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5CD349DC"/>
    <w:multiLevelType w:val="hybridMultilevel"/>
    <w:tmpl w:val="63C26484"/>
    <w:lvl w:ilvl="0" w:tplc="5F407E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9"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40"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65B17DF1"/>
    <w:multiLevelType w:val="hybridMultilevel"/>
    <w:tmpl w:val="C0622456"/>
    <w:lvl w:ilvl="0" w:tplc="5930FD3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44" w15:restartNumberingAfterBreak="0">
    <w:nsid w:val="70623530"/>
    <w:multiLevelType w:val="hybridMultilevel"/>
    <w:tmpl w:val="1E68C640"/>
    <w:lvl w:ilvl="0" w:tplc="A89CEFB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46"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47"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8"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49"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4618B1"/>
    <w:multiLevelType w:val="hybridMultilevel"/>
    <w:tmpl w:val="E0CC8922"/>
    <w:lvl w:ilvl="0" w:tplc="BF3E3620">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1" w15:restartNumberingAfterBreak="0">
    <w:nsid w:val="7E4B67B9"/>
    <w:multiLevelType w:val="hybridMultilevel"/>
    <w:tmpl w:val="5492F2EA"/>
    <w:lvl w:ilvl="0" w:tplc="4E128C7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22751121">
    <w:abstractNumId w:val="46"/>
  </w:num>
  <w:num w:numId="2" w16cid:durableId="1409377145">
    <w:abstractNumId w:val="35"/>
  </w:num>
  <w:num w:numId="3" w16cid:durableId="1709797498">
    <w:abstractNumId w:val="24"/>
  </w:num>
  <w:num w:numId="4" w16cid:durableId="1058939451">
    <w:abstractNumId w:val="11"/>
  </w:num>
  <w:num w:numId="5" w16cid:durableId="159270763">
    <w:abstractNumId w:val="15"/>
  </w:num>
  <w:num w:numId="6" w16cid:durableId="2009939644">
    <w:abstractNumId w:val="1"/>
  </w:num>
  <w:num w:numId="7" w16cid:durableId="2025940443">
    <w:abstractNumId w:val="6"/>
  </w:num>
  <w:num w:numId="8" w16cid:durableId="1079326290">
    <w:abstractNumId w:val="14"/>
  </w:num>
  <w:num w:numId="9" w16cid:durableId="1256400940">
    <w:abstractNumId w:val="36"/>
  </w:num>
  <w:num w:numId="10" w16cid:durableId="1273629011">
    <w:abstractNumId w:val="28"/>
  </w:num>
  <w:num w:numId="11" w16cid:durableId="1542209372">
    <w:abstractNumId w:val="26"/>
  </w:num>
  <w:num w:numId="12" w16cid:durableId="41053420">
    <w:abstractNumId w:val="12"/>
  </w:num>
  <w:num w:numId="13" w16cid:durableId="455098656">
    <w:abstractNumId w:val="29"/>
  </w:num>
  <w:num w:numId="14" w16cid:durableId="627858828">
    <w:abstractNumId w:val="38"/>
  </w:num>
  <w:num w:numId="15" w16cid:durableId="1825124234">
    <w:abstractNumId w:val="39"/>
  </w:num>
  <w:num w:numId="16" w16cid:durableId="959649526">
    <w:abstractNumId w:val="32"/>
  </w:num>
  <w:num w:numId="17" w16cid:durableId="544411089">
    <w:abstractNumId w:val="16"/>
  </w:num>
  <w:num w:numId="18" w16cid:durableId="1338507322">
    <w:abstractNumId w:val="45"/>
  </w:num>
  <w:num w:numId="19" w16cid:durableId="1936553317">
    <w:abstractNumId w:val="43"/>
  </w:num>
  <w:num w:numId="20" w16cid:durableId="16736487">
    <w:abstractNumId w:val="22"/>
  </w:num>
  <w:num w:numId="21" w16cid:durableId="2012485156">
    <w:abstractNumId w:val="7"/>
  </w:num>
  <w:num w:numId="22" w16cid:durableId="1450927929">
    <w:abstractNumId w:val="5"/>
  </w:num>
  <w:num w:numId="23" w16cid:durableId="1794326489">
    <w:abstractNumId w:val="10"/>
  </w:num>
  <w:num w:numId="24" w16cid:durableId="1226255842">
    <w:abstractNumId w:val="8"/>
  </w:num>
  <w:num w:numId="25" w16cid:durableId="481241405">
    <w:abstractNumId w:val="47"/>
  </w:num>
  <w:num w:numId="26" w16cid:durableId="1088382830">
    <w:abstractNumId w:val="48"/>
  </w:num>
  <w:num w:numId="27" w16cid:durableId="1091120781">
    <w:abstractNumId w:val="4"/>
  </w:num>
  <w:num w:numId="28" w16cid:durableId="764882055">
    <w:abstractNumId w:val="19"/>
  </w:num>
  <w:num w:numId="29" w16cid:durableId="1214778977">
    <w:abstractNumId w:val="21"/>
  </w:num>
  <w:num w:numId="30" w16cid:durableId="2065447246">
    <w:abstractNumId w:val="40"/>
  </w:num>
  <w:num w:numId="31" w16cid:durableId="249700045">
    <w:abstractNumId w:val="18"/>
  </w:num>
  <w:num w:numId="32" w16cid:durableId="1583251252">
    <w:abstractNumId w:val="49"/>
  </w:num>
  <w:num w:numId="33" w16cid:durableId="411006537">
    <w:abstractNumId w:val="41"/>
  </w:num>
  <w:num w:numId="34" w16cid:durableId="2104836638">
    <w:abstractNumId w:val="0"/>
  </w:num>
  <w:num w:numId="35" w16cid:durableId="1225486044">
    <w:abstractNumId w:val="9"/>
  </w:num>
  <w:num w:numId="36" w16cid:durableId="981424351">
    <w:abstractNumId w:val="27"/>
  </w:num>
  <w:num w:numId="37" w16cid:durableId="1060980204">
    <w:abstractNumId w:val="25"/>
  </w:num>
  <w:num w:numId="38" w16cid:durableId="848568627">
    <w:abstractNumId w:val="33"/>
  </w:num>
  <w:num w:numId="39" w16cid:durableId="1869564604">
    <w:abstractNumId w:val="30"/>
  </w:num>
  <w:num w:numId="40" w16cid:durableId="246036360">
    <w:abstractNumId w:val="20"/>
  </w:num>
  <w:num w:numId="41" w16cid:durableId="1098676558">
    <w:abstractNumId w:val="13"/>
  </w:num>
  <w:num w:numId="42" w16cid:durableId="981234719">
    <w:abstractNumId w:val="51"/>
  </w:num>
  <w:num w:numId="43" w16cid:durableId="2037387943">
    <w:abstractNumId w:val="44"/>
  </w:num>
  <w:num w:numId="44" w16cid:durableId="38677011">
    <w:abstractNumId w:val="17"/>
  </w:num>
  <w:num w:numId="45" w16cid:durableId="1636373897">
    <w:abstractNumId w:val="50"/>
  </w:num>
  <w:num w:numId="46" w16cid:durableId="723484227">
    <w:abstractNumId w:val="37"/>
  </w:num>
  <w:num w:numId="47" w16cid:durableId="498621588">
    <w:abstractNumId w:val="23"/>
  </w:num>
  <w:num w:numId="48" w16cid:durableId="841554191">
    <w:abstractNumId w:val="42"/>
  </w:num>
  <w:num w:numId="49" w16cid:durableId="615259854">
    <w:abstractNumId w:val="31"/>
  </w:num>
  <w:num w:numId="50" w16cid:durableId="140390170">
    <w:abstractNumId w:val="3"/>
  </w:num>
  <w:num w:numId="51" w16cid:durableId="807170071">
    <w:abstractNumId w:val="34"/>
  </w:num>
  <w:num w:numId="52" w16cid:durableId="1695765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30B66"/>
    <w:rsid w:val="00034822"/>
    <w:rsid w:val="000350DF"/>
    <w:rsid w:val="000368A5"/>
    <w:rsid w:val="00040A04"/>
    <w:rsid w:val="00040EFE"/>
    <w:rsid w:val="00055761"/>
    <w:rsid w:val="000705C4"/>
    <w:rsid w:val="000756A5"/>
    <w:rsid w:val="00080A05"/>
    <w:rsid w:val="00090524"/>
    <w:rsid w:val="00091AAB"/>
    <w:rsid w:val="000B0A57"/>
    <w:rsid w:val="000B11B0"/>
    <w:rsid w:val="000B201E"/>
    <w:rsid w:val="000B24B6"/>
    <w:rsid w:val="000C2E6A"/>
    <w:rsid w:val="000C3A93"/>
    <w:rsid w:val="000C57D2"/>
    <w:rsid w:val="000D2456"/>
    <w:rsid w:val="00106247"/>
    <w:rsid w:val="00123448"/>
    <w:rsid w:val="00135204"/>
    <w:rsid w:val="001414BB"/>
    <w:rsid w:val="001568F1"/>
    <w:rsid w:val="00156AA3"/>
    <w:rsid w:val="0017540F"/>
    <w:rsid w:val="00195C99"/>
    <w:rsid w:val="00196E4D"/>
    <w:rsid w:val="001A3E22"/>
    <w:rsid w:val="001B1080"/>
    <w:rsid w:val="001D58A6"/>
    <w:rsid w:val="0021487B"/>
    <w:rsid w:val="00225424"/>
    <w:rsid w:val="00240866"/>
    <w:rsid w:val="0026772D"/>
    <w:rsid w:val="0028128B"/>
    <w:rsid w:val="002817B4"/>
    <w:rsid w:val="00284B77"/>
    <w:rsid w:val="002A081A"/>
    <w:rsid w:val="002A180F"/>
    <w:rsid w:val="002A7E83"/>
    <w:rsid w:val="002C491C"/>
    <w:rsid w:val="00335FC6"/>
    <w:rsid w:val="00347C81"/>
    <w:rsid w:val="0035078F"/>
    <w:rsid w:val="003557F9"/>
    <w:rsid w:val="00355FB6"/>
    <w:rsid w:val="0037264A"/>
    <w:rsid w:val="0038500F"/>
    <w:rsid w:val="00395B3F"/>
    <w:rsid w:val="003B4841"/>
    <w:rsid w:val="003D3447"/>
    <w:rsid w:val="003D58D1"/>
    <w:rsid w:val="003E3602"/>
    <w:rsid w:val="004145C7"/>
    <w:rsid w:val="00425FB3"/>
    <w:rsid w:val="00437717"/>
    <w:rsid w:val="00440A26"/>
    <w:rsid w:val="00444643"/>
    <w:rsid w:val="004612C6"/>
    <w:rsid w:val="00482F60"/>
    <w:rsid w:val="00485E5B"/>
    <w:rsid w:val="0048667F"/>
    <w:rsid w:val="00486ED1"/>
    <w:rsid w:val="0049227D"/>
    <w:rsid w:val="00497C4C"/>
    <w:rsid w:val="004A4D23"/>
    <w:rsid w:val="004B491A"/>
    <w:rsid w:val="004B5A76"/>
    <w:rsid w:val="004D5F4D"/>
    <w:rsid w:val="004D719F"/>
    <w:rsid w:val="004E34F2"/>
    <w:rsid w:val="004F7E99"/>
    <w:rsid w:val="00505814"/>
    <w:rsid w:val="005139B3"/>
    <w:rsid w:val="00513A08"/>
    <w:rsid w:val="00531281"/>
    <w:rsid w:val="00542BF4"/>
    <w:rsid w:val="005539D4"/>
    <w:rsid w:val="0055665A"/>
    <w:rsid w:val="0057034B"/>
    <w:rsid w:val="00570B77"/>
    <w:rsid w:val="00577526"/>
    <w:rsid w:val="00592098"/>
    <w:rsid w:val="00592D51"/>
    <w:rsid w:val="00592EC4"/>
    <w:rsid w:val="005A2D06"/>
    <w:rsid w:val="005B1484"/>
    <w:rsid w:val="005C19D2"/>
    <w:rsid w:val="005C50A4"/>
    <w:rsid w:val="0060080B"/>
    <w:rsid w:val="00612931"/>
    <w:rsid w:val="006203AF"/>
    <w:rsid w:val="00627EA4"/>
    <w:rsid w:val="00652618"/>
    <w:rsid w:val="00656632"/>
    <w:rsid w:val="0068058F"/>
    <w:rsid w:val="00681002"/>
    <w:rsid w:val="00691B8D"/>
    <w:rsid w:val="006B4DF9"/>
    <w:rsid w:val="006E2DF8"/>
    <w:rsid w:val="00700870"/>
    <w:rsid w:val="00706315"/>
    <w:rsid w:val="00713372"/>
    <w:rsid w:val="00721BF9"/>
    <w:rsid w:val="00722C44"/>
    <w:rsid w:val="00731893"/>
    <w:rsid w:val="00752654"/>
    <w:rsid w:val="007633D2"/>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901B79"/>
    <w:rsid w:val="00904A5C"/>
    <w:rsid w:val="00916033"/>
    <w:rsid w:val="009A2FF7"/>
    <w:rsid w:val="009A4D4A"/>
    <w:rsid w:val="009C28B6"/>
    <w:rsid w:val="009C672B"/>
    <w:rsid w:val="009D41CC"/>
    <w:rsid w:val="009E602F"/>
    <w:rsid w:val="00A00060"/>
    <w:rsid w:val="00A0690E"/>
    <w:rsid w:val="00A402F9"/>
    <w:rsid w:val="00A51781"/>
    <w:rsid w:val="00A7712F"/>
    <w:rsid w:val="00A83989"/>
    <w:rsid w:val="00AB0D45"/>
    <w:rsid w:val="00AC0FE1"/>
    <w:rsid w:val="00AC3D87"/>
    <w:rsid w:val="00AE3E5E"/>
    <w:rsid w:val="00AF2A87"/>
    <w:rsid w:val="00AF408F"/>
    <w:rsid w:val="00AF4F00"/>
    <w:rsid w:val="00AF65F8"/>
    <w:rsid w:val="00B26EF3"/>
    <w:rsid w:val="00B2792F"/>
    <w:rsid w:val="00B3388C"/>
    <w:rsid w:val="00B33A35"/>
    <w:rsid w:val="00B473B2"/>
    <w:rsid w:val="00B87C7E"/>
    <w:rsid w:val="00B90D04"/>
    <w:rsid w:val="00B95ED8"/>
    <w:rsid w:val="00BB275B"/>
    <w:rsid w:val="00BC18C3"/>
    <w:rsid w:val="00BC4BE4"/>
    <w:rsid w:val="00BE4101"/>
    <w:rsid w:val="00BF4385"/>
    <w:rsid w:val="00BF7729"/>
    <w:rsid w:val="00C001D6"/>
    <w:rsid w:val="00C11930"/>
    <w:rsid w:val="00C16AEB"/>
    <w:rsid w:val="00C4141D"/>
    <w:rsid w:val="00C56B86"/>
    <w:rsid w:val="00C615CA"/>
    <w:rsid w:val="00C658C4"/>
    <w:rsid w:val="00C7019D"/>
    <w:rsid w:val="00C75C43"/>
    <w:rsid w:val="00C919A3"/>
    <w:rsid w:val="00C93F9A"/>
    <w:rsid w:val="00CA58D6"/>
    <w:rsid w:val="00CC5D79"/>
    <w:rsid w:val="00CE4CAD"/>
    <w:rsid w:val="00CE7118"/>
    <w:rsid w:val="00CE7996"/>
    <w:rsid w:val="00CF0C2E"/>
    <w:rsid w:val="00D15783"/>
    <w:rsid w:val="00D17DF4"/>
    <w:rsid w:val="00D4301D"/>
    <w:rsid w:val="00D4600F"/>
    <w:rsid w:val="00D523DE"/>
    <w:rsid w:val="00D643EB"/>
    <w:rsid w:val="00DA0275"/>
    <w:rsid w:val="00DA3E9E"/>
    <w:rsid w:val="00DA462D"/>
    <w:rsid w:val="00DA74C1"/>
    <w:rsid w:val="00DB2F91"/>
    <w:rsid w:val="00DD2345"/>
    <w:rsid w:val="00DE6416"/>
    <w:rsid w:val="00E029BC"/>
    <w:rsid w:val="00E07D4E"/>
    <w:rsid w:val="00E26D01"/>
    <w:rsid w:val="00E6735A"/>
    <w:rsid w:val="00E82BD3"/>
    <w:rsid w:val="00E841EF"/>
    <w:rsid w:val="00E85B0B"/>
    <w:rsid w:val="00E95390"/>
    <w:rsid w:val="00EA05AF"/>
    <w:rsid w:val="00EA0A0D"/>
    <w:rsid w:val="00EA15DD"/>
    <w:rsid w:val="00EA2BDF"/>
    <w:rsid w:val="00EB64F5"/>
    <w:rsid w:val="00EB7C94"/>
    <w:rsid w:val="00EF2EA1"/>
    <w:rsid w:val="00F13199"/>
    <w:rsid w:val="00F17867"/>
    <w:rsid w:val="00F477CF"/>
    <w:rsid w:val="00F47A8E"/>
    <w:rsid w:val="00F51740"/>
    <w:rsid w:val="00F549C2"/>
    <w:rsid w:val="00F661C8"/>
    <w:rsid w:val="00F745F7"/>
    <w:rsid w:val="00F74FB0"/>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D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3.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customXml/itemProps4.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Ruselle V. Castronuevo</cp:lastModifiedBy>
  <cp:revision>3</cp:revision>
  <dcterms:created xsi:type="dcterms:W3CDTF">2024-07-04T06:16:00Z</dcterms:created>
  <dcterms:modified xsi:type="dcterms:W3CDTF">2024-07-04T06:23:00Z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