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162" w:type="dxa"/>
        <w:tblInd w:w="-572" w:type="dxa"/>
        <w:tblLook w:val="04A0" w:firstRow="1" w:lastRow="0" w:firstColumn="1" w:lastColumn="0" w:noHBand="0" w:noVBand="1"/>
      </w:tblPr>
      <w:tblGrid>
        <w:gridCol w:w="6091"/>
        <w:gridCol w:w="5096"/>
        <w:gridCol w:w="3975"/>
      </w:tblGrid>
      <w:tr w:rsidR="004C4061" w:rsidRPr="00DF2A34" w14:paraId="2F8AAA9C" w14:textId="77777777" w:rsidTr="00472CB8">
        <w:trPr>
          <w:trHeight w:val="254"/>
          <w:tblHeader/>
        </w:trPr>
        <w:tc>
          <w:tcPr>
            <w:tcW w:w="6091" w:type="dxa"/>
            <w:shd w:val="clear" w:color="auto" w:fill="D0CECE" w:themeFill="background2" w:themeFillShade="E6"/>
          </w:tcPr>
          <w:p w14:paraId="25E485A2" w14:textId="21917475" w:rsidR="004C4061" w:rsidRPr="00472CB8" w:rsidRDefault="00684141" w:rsidP="00472CB8">
            <w:pPr>
              <w:pStyle w:val="NoSpacing"/>
              <w:jc w:val="center"/>
              <w:rPr>
                <w:rFonts w:ascii="Arial" w:hAnsi="Arial" w:cs="Arial"/>
                <w:b/>
                <w:bCs/>
              </w:rPr>
            </w:pPr>
            <w:r>
              <w:rPr>
                <w:rFonts w:ascii="Arial" w:hAnsi="Arial" w:cs="Arial"/>
                <w:b/>
                <w:bCs/>
              </w:rPr>
              <w:t>Provision</w:t>
            </w:r>
          </w:p>
        </w:tc>
        <w:tc>
          <w:tcPr>
            <w:tcW w:w="5096" w:type="dxa"/>
            <w:shd w:val="clear" w:color="auto" w:fill="D0CECE" w:themeFill="background2" w:themeFillShade="E6"/>
          </w:tcPr>
          <w:p w14:paraId="1C799667" w14:textId="2DC145D0" w:rsidR="004C4061" w:rsidRPr="00472CB8" w:rsidRDefault="004C4061" w:rsidP="00472CB8">
            <w:pPr>
              <w:pStyle w:val="NoSpacing"/>
              <w:jc w:val="center"/>
              <w:rPr>
                <w:rFonts w:ascii="Arial" w:hAnsi="Arial" w:cs="Arial"/>
                <w:b/>
                <w:bCs/>
              </w:rPr>
            </w:pPr>
            <w:r w:rsidRPr="00472CB8">
              <w:rPr>
                <w:rFonts w:ascii="Arial" w:hAnsi="Arial" w:cs="Arial"/>
                <w:b/>
                <w:bCs/>
              </w:rPr>
              <w:t>Proposed Revision</w:t>
            </w:r>
          </w:p>
        </w:tc>
        <w:tc>
          <w:tcPr>
            <w:tcW w:w="3975" w:type="dxa"/>
            <w:shd w:val="clear" w:color="auto" w:fill="D0CECE" w:themeFill="background2" w:themeFillShade="E6"/>
          </w:tcPr>
          <w:p w14:paraId="7F8BC17C" w14:textId="20B78407" w:rsidR="004C4061" w:rsidRPr="00472CB8" w:rsidRDefault="004C4061" w:rsidP="00472CB8">
            <w:pPr>
              <w:pStyle w:val="NoSpacing"/>
              <w:jc w:val="center"/>
              <w:rPr>
                <w:rFonts w:ascii="Arial" w:hAnsi="Arial" w:cs="Arial"/>
                <w:b/>
                <w:bCs/>
              </w:rPr>
            </w:pPr>
            <w:r w:rsidRPr="00472CB8">
              <w:rPr>
                <w:rFonts w:ascii="Arial" w:hAnsi="Arial" w:cs="Arial"/>
                <w:b/>
                <w:bCs/>
              </w:rPr>
              <w:t>Rationale/Comments</w:t>
            </w:r>
          </w:p>
        </w:tc>
      </w:tr>
      <w:tr w:rsidR="004C4061" w:rsidRPr="00DF2A34" w14:paraId="055E3AE7" w14:textId="77777777" w:rsidTr="00684141">
        <w:trPr>
          <w:trHeight w:val="1426"/>
        </w:trPr>
        <w:tc>
          <w:tcPr>
            <w:tcW w:w="6091" w:type="dxa"/>
          </w:tcPr>
          <w:p w14:paraId="2B800ACB" w14:textId="26D1F87A" w:rsidR="004C4061" w:rsidRPr="00684141" w:rsidRDefault="00684141" w:rsidP="00684141">
            <w:pPr>
              <w:pStyle w:val="NoSpacing"/>
              <w:jc w:val="both"/>
              <w:rPr>
                <w:rFonts w:ascii="Arial" w:eastAsia="Calibri" w:hAnsi="Arial" w:cs="Arial"/>
                <w:b/>
                <w:bCs/>
              </w:rPr>
            </w:pPr>
            <w:r w:rsidRPr="00684141">
              <w:rPr>
                <w:rFonts w:ascii="Arial" w:eastAsia="Calibri" w:hAnsi="Arial" w:cs="Arial"/>
                <w:b/>
                <w:bCs/>
              </w:rPr>
              <w:t xml:space="preserve">TITLE: </w:t>
            </w:r>
            <w:r w:rsidRPr="00684141">
              <w:rPr>
                <w:rFonts w:ascii="Arial" w:eastAsia="Calibri" w:hAnsi="Arial" w:cs="Arial"/>
              </w:rPr>
              <w:t>PRESCRIBING AMENDMENTS TO SECTIONS 19 OF DEPARTMENT CIRCULAR NO. DC2009-05-0008 ENTITLED, RULES AND REGULATIONS IMPLEMENTING REPUBLIC ACT NO. 9513, OTHERWISE KNOWN AS “THE RENEWABLE ENERGY ACT OF 2008”</w:t>
            </w:r>
          </w:p>
        </w:tc>
        <w:tc>
          <w:tcPr>
            <w:tcW w:w="5096" w:type="dxa"/>
          </w:tcPr>
          <w:p w14:paraId="1F2A0F2C" w14:textId="77777777" w:rsidR="004C4061" w:rsidRPr="00DF2A34" w:rsidRDefault="004C4061" w:rsidP="00472CB8">
            <w:pPr>
              <w:pStyle w:val="NoSpacing"/>
              <w:jc w:val="both"/>
              <w:rPr>
                <w:rFonts w:ascii="Arial" w:eastAsia="Times New Roman" w:hAnsi="Arial" w:cs="Arial"/>
                <w:bCs/>
                <w:color w:val="000000" w:themeColor="text1"/>
              </w:rPr>
            </w:pPr>
          </w:p>
        </w:tc>
        <w:tc>
          <w:tcPr>
            <w:tcW w:w="3975" w:type="dxa"/>
          </w:tcPr>
          <w:p w14:paraId="2B94C535" w14:textId="42E341C9" w:rsidR="004C4061" w:rsidRPr="00DF2A34" w:rsidRDefault="004C4061" w:rsidP="00472CB8">
            <w:pPr>
              <w:pStyle w:val="NoSpacing"/>
              <w:jc w:val="both"/>
              <w:rPr>
                <w:rFonts w:ascii="Arial" w:eastAsia="Calibri" w:hAnsi="Arial" w:cs="Arial"/>
              </w:rPr>
            </w:pPr>
          </w:p>
        </w:tc>
      </w:tr>
      <w:tr w:rsidR="00684141" w:rsidRPr="00DF2A34" w14:paraId="51733B59" w14:textId="77777777" w:rsidTr="00472CB8">
        <w:trPr>
          <w:trHeight w:val="2046"/>
        </w:trPr>
        <w:tc>
          <w:tcPr>
            <w:tcW w:w="6091" w:type="dxa"/>
          </w:tcPr>
          <w:p w14:paraId="59F3CCF9" w14:textId="77777777" w:rsidR="00684141" w:rsidRDefault="00684141" w:rsidP="00684141">
            <w:pPr>
              <w:rPr>
                <w:sz w:val="22"/>
                <w:szCs w:val="22"/>
              </w:rPr>
            </w:pPr>
            <w:r>
              <w:rPr>
                <w:b/>
                <w:bCs/>
                <w:sz w:val="22"/>
                <w:szCs w:val="22"/>
              </w:rPr>
              <w:t xml:space="preserve">WHEREAS, </w:t>
            </w:r>
            <w:r>
              <w:rPr>
                <w:sz w:val="22"/>
                <w:szCs w:val="22"/>
              </w:rPr>
              <w:t>Section 2(a) of Republic Act No. 9513, or the Renewable Energy Act of 2008 (the “RE Act”) provides the State policy to accelerate the exploration and development of renewable energy (RE) resources, such as, but not limited to, biomass, solar, wind, hydro, geothermal and ocean energy resources, including hybrid systems, to achieve energy self-reliance, through the adoption of sustainable energy development strategies to reduce the country’s dependence on fossil fuels and thereby minimize the country’s exposure to price fluctuations in the international markets, the effects of which spiral down to almost all sectors of the economy;</w:t>
            </w:r>
          </w:p>
          <w:p w14:paraId="4D6DEFBA" w14:textId="77777777" w:rsidR="00684141" w:rsidRPr="00DF2A34" w:rsidRDefault="00684141" w:rsidP="00472CB8">
            <w:pPr>
              <w:pStyle w:val="NoSpacing"/>
              <w:jc w:val="both"/>
              <w:rPr>
                <w:rFonts w:ascii="Arial" w:eastAsia="Calibri" w:hAnsi="Arial" w:cs="Arial"/>
              </w:rPr>
            </w:pPr>
          </w:p>
        </w:tc>
        <w:tc>
          <w:tcPr>
            <w:tcW w:w="5096" w:type="dxa"/>
          </w:tcPr>
          <w:p w14:paraId="0D92928F" w14:textId="77777777" w:rsidR="00684141" w:rsidRPr="00DF2A34" w:rsidRDefault="00684141" w:rsidP="00472CB8">
            <w:pPr>
              <w:pStyle w:val="NoSpacing"/>
              <w:jc w:val="both"/>
              <w:rPr>
                <w:rFonts w:ascii="Arial" w:eastAsia="Times New Roman" w:hAnsi="Arial" w:cs="Arial"/>
                <w:bCs/>
                <w:color w:val="000000" w:themeColor="text1"/>
              </w:rPr>
            </w:pPr>
          </w:p>
        </w:tc>
        <w:tc>
          <w:tcPr>
            <w:tcW w:w="3975" w:type="dxa"/>
          </w:tcPr>
          <w:p w14:paraId="4B0D1F36" w14:textId="77777777" w:rsidR="00684141" w:rsidRPr="00DF2A34" w:rsidRDefault="00684141" w:rsidP="00472CB8">
            <w:pPr>
              <w:pStyle w:val="NoSpacing"/>
              <w:jc w:val="both"/>
              <w:rPr>
                <w:rFonts w:ascii="Arial" w:eastAsia="Calibri" w:hAnsi="Arial" w:cs="Arial"/>
              </w:rPr>
            </w:pPr>
          </w:p>
        </w:tc>
      </w:tr>
      <w:tr w:rsidR="00180D59" w:rsidRPr="00DF2A34" w14:paraId="4C5CD742" w14:textId="77777777" w:rsidTr="00472CB8">
        <w:trPr>
          <w:trHeight w:val="2046"/>
        </w:trPr>
        <w:tc>
          <w:tcPr>
            <w:tcW w:w="6091" w:type="dxa"/>
          </w:tcPr>
          <w:p w14:paraId="56EB6B69" w14:textId="77777777" w:rsidR="00684141" w:rsidRDefault="00684141" w:rsidP="00684141">
            <w:pPr>
              <w:rPr>
                <w:sz w:val="22"/>
                <w:szCs w:val="22"/>
              </w:rPr>
            </w:pPr>
            <w:r>
              <w:rPr>
                <w:b/>
                <w:bCs/>
                <w:sz w:val="22"/>
                <w:szCs w:val="22"/>
              </w:rPr>
              <w:t xml:space="preserve">WHEREAS, </w:t>
            </w:r>
            <w:r>
              <w:rPr>
                <w:sz w:val="22"/>
                <w:szCs w:val="22"/>
              </w:rPr>
              <w:t xml:space="preserve">Section 2(c) of the RE Act </w:t>
            </w:r>
            <w:r w:rsidRPr="001972E4">
              <w:rPr>
                <w:sz w:val="22"/>
                <w:szCs w:val="22"/>
              </w:rPr>
              <w:t>further</w:t>
            </w:r>
            <w:r>
              <w:rPr>
                <w:sz w:val="22"/>
                <w:szCs w:val="22"/>
              </w:rPr>
              <w:t xml:space="preserve"> declares the State policy to encourage the development and utilization of RE resources as tools to effectively prevent or reduce harmful emissions and thereby balance the goals of economic growth and development with the protection of health and the environment;</w:t>
            </w:r>
          </w:p>
          <w:p w14:paraId="79090E28" w14:textId="77777777" w:rsidR="0011017F" w:rsidRPr="00DF2A34" w:rsidRDefault="0011017F" w:rsidP="00472CB8">
            <w:pPr>
              <w:pStyle w:val="NoSpacing"/>
              <w:jc w:val="both"/>
              <w:rPr>
                <w:rFonts w:ascii="Arial" w:hAnsi="Arial" w:cs="Arial"/>
              </w:rPr>
            </w:pPr>
          </w:p>
        </w:tc>
        <w:tc>
          <w:tcPr>
            <w:tcW w:w="5096" w:type="dxa"/>
          </w:tcPr>
          <w:p w14:paraId="6B711182" w14:textId="77777777" w:rsidR="00180D59" w:rsidRPr="00DF2A34" w:rsidRDefault="00180D59" w:rsidP="00472CB8">
            <w:pPr>
              <w:pStyle w:val="NoSpacing"/>
              <w:jc w:val="both"/>
              <w:rPr>
                <w:rFonts w:ascii="Arial" w:eastAsia="Times New Roman" w:hAnsi="Arial" w:cs="Arial"/>
                <w:bCs/>
                <w:color w:val="000000" w:themeColor="text1"/>
              </w:rPr>
            </w:pPr>
          </w:p>
        </w:tc>
        <w:tc>
          <w:tcPr>
            <w:tcW w:w="3975" w:type="dxa"/>
          </w:tcPr>
          <w:p w14:paraId="6BB9A787" w14:textId="77777777" w:rsidR="00180D59" w:rsidRPr="00DF2A34" w:rsidRDefault="00180D59" w:rsidP="00472CB8">
            <w:pPr>
              <w:pStyle w:val="NoSpacing"/>
              <w:jc w:val="both"/>
              <w:rPr>
                <w:rFonts w:ascii="Arial" w:hAnsi="Arial" w:cs="Arial"/>
              </w:rPr>
            </w:pPr>
          </w:p>
        </w:tc>
      </w:tr>
      <w:tr w:rsidR="00684141" w:rsidRPr="00DF2A34" w14:paraId="1DD1E16C" w14:textId="77777777" w:rsidTr="00684141">
        <w:trPr>
          <w:trHeight w:val="1568"/>
        </w:trPr>
        <w:tc>
          <w:tcPr>
            <w:tcW w:w="6091" w:type="dxa"/>
          </w:tcPr>
          <w:p w14:paraId="11DBBD45" w14:textId="77777777" w:rsidR="00684141" w:rsidRDefault="00684141" w:rsidP="00684141">
            <w:pPr>
              <w:rPr>
                <w:sz w:val="22"/>
                <w:szCs w:val="22"/>
              </w:rPr>
            </w:pPr>
            <w:r>
              <w:rPr>
                <w:b/>
                <w:bCs/>
                <w:sz w:val="22"/>
                <w:szCs w:val="22"/>
              </w:rPr>
              <w:t xml:space="preserve">WHEREAS, </w:t>
            </w:r>
            <w:r>
              <w:rPr>
                <w:sz w:val="22"/>
                <w:szCs w:val="22"/>
              </w:rPr>
              <w:t>pursuant to Section 33 of the RE Act, the Department of Energy (“DOE”) promulgated Department Circular No. DC2009-05-0008, or the Rules and Regulations Implementing the Republic Act No. 9513 (the “RE Act IRR”) on 25 May 2009;</w:t>
            </w:r>
          </w:p>
          <w:p w14:paraId="0C7123C2" w14:textId="77777777" w:rsidR="00684141" w:rsidRDefault="00684141" w:rsidP="00684141">
            <w:pPr>
              <w:rPr>
                <w:b/>
                <w:bCs/>
                <w:sz w:val="22"/>
                <w:szCs w:val="22"/>
              </w:rPr>
            </w:pPr>
          </w:p>
        </w:tc>
        <w:tc>
          <w:tcPr>
            <w:tcW w:w="5096" w:type="dxa"/>
          </w:tcPr>
          <w:p w14:paraId="6B7576CE" w14:textId="77777777" w:rsidR="00684141" w:rsidRPr="00DF2A34" w:rsidRDefault="00684141" w:rsidP="00472CB8">
            <w:pPr>
              <w:pStyle w:val="NoSpacing"/>
              <w:jc w:val="both"/>
              <w:rPr>
                <w:rFonts w:ascii="Arial" w:eastAsia="Times New Roman" w:hAnsi="Arial" w:cs="Arial"/>
                <w:bCs/>
                <w:color w:val="000000" w:themeColor="text1"/>
              </w:rPr>
            </w:pPr>
          </w:p>
        </w:tc>
        <w:tc>
          <w:tcPr>
            <w:tcW w:w="3975" w:type="dxa"/>
          </w:tcPr>
          <w:p w14:paraId="145BB8EC" w14:textId="77777777" w:rsidR="00684141" w:rsidRPr="00DF2A34" w:rsidRDefault="00684141" w:rsidP="00472CB8">
            <w:pPr>
              <w:pStyle w:val="NoSpacing"/>
              <w:jc w:val="both"/>
              <w:rPr>
                <w:rFonts w:ascii="Arial" w:hAnsi="Arial" w:cs="Arial"/>
              </w:rPr>
            </w:pPr>
          </w:p>
        </w:tc>
      </w:tr>
      <w:tr w:rsidR="00684141" w:rsidRPr="00DF2A34" w14:paraId="0DF0EF69" w14:textId="77777777" w:rsidTr="00472CB8">
        <w:trPr>
          <w:trHeight w:val="2046"/>
        </w:trPr>
        <w:tc>
          <w:tcPr>
            <w:tcW w:w="6091" w:type="dxa"/>
          </w:tcPr>
          <w:p w14:paraId="79DB93B5" w14:textId="77777777" w:rsidR="00684141" w:rsidRDefault="00684141" w:rsidP="00684141">
            <w:pPr>
              <w:rPr>
                <w:sz w:val="22"/>
                <w:szCs w:val="22"/>
              </w:rPr>
            </w:pPr>
            <w:r>
              <w:rPr>
                <w:b/>
                <w:bCs/>
                <w:sz w:val="22"/>
                <w:szCs w:val="22"/>
              </w:rPr>
              <w:lastRenderedPageBreak/>
              <w:t xml:space="preserve">WHEREAS, </w:t>
            </w:r>
            <w:r>
              <w:rPr>
                <w:sz w:val="22"/>
                <w:szCs w:val="22"/>
              </w:rPr>
              <w:t xml:space="preserve">Section 19, Rule 6 of the RE Act IRR provides, among others, that all forces of potential energy and other natural resources are owned by the State, which include potential energy sources such as kinetic energy from water, marine current and wind; thermal energy from solar, ocean, geothermal and biomass; and that foreign RE Developers may also be allowed to undertake RE development through an RE Service/Operating Contract with the government, subject to Article XII, Section 2 of the Constitution; </w:t>
            </w:r>
          </w:p>
          <w:p w14:paraId="17C19BBE" w14:textId="77777777" w:rsidR="00684141" w:rsidRDefault="00684141" w:rsidP="00684141">
            <w:pPr>
              <w:rPr>
                <w:b/>
                <w:bCs/>
                <w:sz w:val="22"/>
                <w:szCs w:val="22"/>
              </w:rPr>
            </w:pPr>
          </w:p>
        </w:tc>
        <w:tc>
          <w:tcPr>
            <w:tcW w:w="5096" w:type="dxa"/>
          </w:tcPr>
          <w:p w14:paraId="798081A4" w14:textId="77777777" w:rsidR="00684141" w:rsidRPr="00DF2A34" w:rsidRDefault="00684141" w:rsidP="00472CB8">
            <w:pPr>
              <w:pStyle w:val="NoSpacing"/>
              <w:jc w:val="both"/>
              <w:rPr>
                <w:rFonts w:ascii="Arial" w:eastAsia="Times New Roman" w:hAnsi="Arial" w:cs="Arial"/>
                <w:bCs/>
                <w:color w:val="000000" w:themeColor="text1"/>
              </w:rPr>
            </w:pPr>
          </w:p>
        </w:tc>
        <w:tc>
          <w:tcPr>
            <w:tcW w:w="3975" w:type="dxa"/>
          </w:tcPr>
          <w:p w14:paraId="51FA6491" w14:textId="77777777" w:rsidR="00684141" w:rsidRPr="00DF2A34" w:rsidRDefault="00684141" w:rsidP="00472CB8">
            <w:pPr>
              <w:pStyle w:val="NoSpacing"/>
              <w:jc w:val="both"/>
              <w:rPr>
                <w:rFonts w:ascii="Arial" w:hAnsi="Arial" w:cs="Arial"/>
              </w:rPr>
            </w:pPr>
          </w:p>
        </w:tc>
      </w:tr>
      <w:tr w:rsidR="00684141" w:rsidRPr="00DF2A34" w14:paraId="03DF8449" w14:textId="77777777" w:rsidTr="00684141">
        <w:trPr>
          <w:trHeight w:val="1859"/>
        </w:trPr>
        <w:tc>
          <w:tcPr>
            <w:tcW w:w="6091" w:type="dxa"/>
          </w:tcPr>
          <w:p w14:paraId="4571CEFD" w14:textId="77777777" w:rsidR="00684141" w:rsidRDefault="00684141" w:rsidP="00684141">
            <w:pPr>
              <w:rPr>
                <w:sz w:val="22"/>
                <w:szCs w:val="22"/>
              </w:rPr>
            </w:pPr>
            <w:r>
              <w:rPr>
                <w:b/>
                <w:bCs/>
                <w:sz w:val="22"/>
                <w:szCs w:val="22"/>
              </w:rPr>
              <w:t xml:space="preserve">WHEREAS, </w:t>
            </w:r>
            <w:r>
              <w:rPr>
                <w:sz w:val="22"/>
                <w:szCs w:val="22"/>
              </w:rPr>
              <w:t>in implementing the RE Act, Section 19, Rule 6 of the RE Act IRR reserved the exploration, development and utilization of RE resources</w:t>
            </w:r>
            <w:r w:rsidRPr="001972E4">
              <w:rPr>
                <w:sz w:val="22"/>
                <w:szCs w:val="22"/>
              </w:rPr>
              <w:t>, namely, solar, wind, hydropower, geothermal and ocean or tidal energy,</w:t>
            </w:r>
            <w:r>
              <w:rPr>
                <w:sz w:val="22"/>
                <w:szCs w:val="22"/>
              </w:rPr>
              <w:t xml:space="preserve"> to Filipino citizens and corporations or associations at least sixty percent (60%) of whose capital is owned by Filipinos; </w:t>
            </w:r>
          </w:p>
          <w:p w14:paraId="6F1D55B9" w14:textId="6D9698D3" w:rsidR="00684141" w:rsidRPr="00684141" w:rsidRDefault="00684141" w:rsidP="00684141">
            <w:pPr>
              <w:rPr>
                <w:sz w:val="22"/>
                <w:szCs w:val="22"/>
              </w:rPr>
            </w:pPr>
          </w:p>
        </w:tc>
        <w:tc>
          <w:tcPr>
            <w:tcW w:w="5096" w:type="dxa"/>
          </w:tcPr>
          <w:p w14:paraId="536E9E74" w14:textId="77777777" w:rsidR="00684141" w:rsidRPr="00DF2A34" w:rsidRDefault="00684141" w:rsidP="00472CB8">
            <w:pPr>
              <w:pStyle w:val="NoSpacing"/>
              <w:jc w:val="both"/>
              <w:rPr>
                <w:rFonts w:ascii="Arial" w:eastAsia="Times New Roman" w:hAnsi="Arial" w:cs="Arial"/>
                <w:bCs/>
                <w:color w:val="000000" w:themeColor="text1"/>
              </w:rPr>
            </w:pPr>
          </w:p>
        </w:tc>
        <w:tc>
          <w:tcPr>
            <w:tcW w:w="3975" w:type="dxa"/>
          </w:tcPr>
          <w:p w14:paraId="55C1B8E8" w14:textId="77777777" w:rsidR="00684141" w:rsidRPr="00DF2A34" w:rsidRDefault="00684141" w:rsidP="00472CB8">
            <w:pPr>
              <w:pStyle w:val="NoSpacing"/>
              <w:jc w:val="both"/>
              <w:rPr>
                <w:rFonts w:ascii="Arial" w:hAnsi="Arial" w:cs="Arial"/>
              </w:rPr>
            </w:pPr>
          </w:p>
        </w:tc>
      </w:tr>
      <w:tr w:rsidR="00684141" w:rsidRPr="00DF2A34" w14:paraId="05CC6084" w14:textId="77777777" w:rsidTr="00684141">
        <w:trPr>
          <w:trHeight w:val="709"/>
        </w:trPr>
        <w:tc>
          <w:tcPr>
            <w:tcW w:w="6091" w:type="dxa"/>
          </w:tcPr>
          <w:p w14:paraId="40B2EF50" w14:textId="77777777" w:rsidR="00684141" w:rsidRPr="00FB08AE" w:rsidRDefault="00684141" w:rsidP="00684141">
            <w:pPr>
              <w:rPr>
                <w:sz w:val="22"/>
                <w:szCs w:val="22"/>
              </w:rPr>
            </w:pPr>
            <w:r w:rsidRPr="00EA4AF3">
              <w:rPr>
                <w:b/>
                <w:bCs/>
                <w:sz w:val="22"/>
                <w:szCs w:val="22"/>
              </w:rPr>
              <w:t xml:space="preserve">WHEREAS, </w:t>
            </w:r>
            <w:r w:rsidRPr="00EA4AF3">
              <w:rPr>
                <w:sz w:val="22"/>
                <w:szCs w:val="22"/>
              </w:rPr>
              <w:t>the RE Act contains no provision imposing the afore-cited ownership restriction;</w:t>
            </w:r>
          </w:p>
          <w:p w14:paraId="77919A49" w14:textId="77777777" w:rsidR="00684141" w:rsidRDefault="00684141" w:rsidP="00684141">
            <w:pPr>
              <w:rPr>
                <w:b/>
                <w:bCs/>
                <w:sz w:val="22"/>
                <w:szCs w:val="22"/>
              </w:rPr>
            </w:pPr>
          </w:p>
        </w:tc>
        <w:tc>
          <w:tcPr>
            <w:tcW w:w="5096" w:type="dxa"/>
          </w:tcPr>
          <w:p w14:paraId="27D8D6CF" w14:textId="77777777" w:rsidR="00684141" w:rsidRPr="00DF2A34" w:rsidRDefault="00684141" w:rsidP="00472CB8">
            <w:pPr>
              <w:pStyle w:val="NoSpacing"/>
              <w:jc w:val="both"/>
              <w:rPr>
                <w:rFonts w:ascii="Arial" w:eastAsia="Times New Roman" w:hAnsi="Arial" w:cs="Arial"/>
                <w:bCs/>
                <w:color w:val="000000" w:themeColor="text1"/>
              </w:rPr>
            </w:pPr>
          </w:p>
        </w:tc>
        <w:tc>
          <w:tcPr>
            <w:tcW w:w="3975" w:type="dxa"/>
          </w:tcPr>
          <w:p w14:paraId="44B59971" w14:textId="77777777" w:rsidR="00684141" w:rsidRPr="00DF2A34" w:rsidRDefault="00684141" w:rsidP="00472CB8">
            <w:pPr>
              <w:pStyle w:val="NoSpacing"/>
              <w:jc w:val="both"/>
              <w:rPr>
                <w:rFonts w:ascii="Arial" w:hAnsi="Arial" w:cs="Arial"/>
              </w:rPr>
            </w:pPr>
          </w:p>
        </w:tc>
      </w:tr>
      <w:tr w:rsidR="00684141" w:rsidRPr="00DF2A34" w14:paraId="483EB859" w14:textId="77777777" w:rsidTr="00684141">
        <w:trPr>
          <w:trHeight w:val="718"/>
        </w:trPr>
        <w:tc>
          <w:tcPr>
            <w:tcW w:w="6091" w:type="dxa"/>
          </w:tcPr>
          <w:p w14:paraId="5AA613C2" w14:textId="77777777" w:rsidR="00684141" w:rsidRDefault="00684141" w:rsidP="00684141">
            <w:pPr>
              <w:rPr>
                <w:sz w:val="22"/>
                <w:szCs w:val="22"/>
              </w:rPr>
            </w:pPr>
            <w:bookmarkStart w:id="0" w:name="_Hlk115425517"/>
            <w:r w:rsidRPr="001972E4">
              <w:rPr>
                <w:b/>
                <w:bCs/>
                <w:sz w:val="22"/>
                <w:szCs w:val="22"/>
              </w:rPr>
              <w:t xml:space="preserve">WHEREAS, </w:t>
            </w:r>
            <w:r w:rsidRPr="001972E4">
              <w:rPr>
                <w:sz w:val="22"/>
                <w:szCs w:val="22"/>
              </w:rPr>
              <w:t xml:space="preserve">on </w:t>
            </w:r>
            <w:r>
              <w:rPr>
                <w:sz w:val="22"/>
                <w:szCs w:val="22"/>
              </w:rPr>
              <w:t>29 September 2022</w:t>
            </w:r>
            <w:r w:rsidRPr="001972E4">
              <w:rPr>
                <w:sz w:val="22"/>
                <w:szCs w:val="22"/>
              </w:rPr>
              <w:t>, the Department of Justice</w:t>
            </w:r>
            <w:r>
              <w:rPr>
                <w:sz w:val="22"/>
                <w:szCs w:val="22"/>
              </w:rPr>
              <w:t xml:space="preserve"> (DOJ)</w:t>
            </w:r>
            <w:r w:rsidRPr="001972E4">
              <w:rPr>
                <w:sz w:val="22"/>
                <w:szCs w:val="22"/>
              </w:rPr>
              <w:t xml:space="preserve"> rendered an Opinion</w:t>
            </w:r>
            <w:r>
              <w:rPr>
                <w:rStyle w:val="FootnoteReference"/>
                <w:sz w:val="22"/>
                <w:szCs w:val="22"/>
              </w:rPr>
              <w:footnoteReference w:id="1"/>
            </w:r>
            <w:r w:rsidRPr="001972E4">
              <w:rPr>
                <w:sz w:val="22"/>
                <w:szCs w:val="22"/>
              </w:rPr>
              <w:t xml:space="preserve"> that </w:t>
            </w:r>
            <w:r>
              <w:rPr>
                <w:sz w:val="22"/>
                <w:szCs w:val="22"/>
              </w:rPr>
              <w:t xml:space="preserve">the </w:t>
            </w:r>
            <w:bookmarkEnd w:id="0"/>
            <w:r>
              <w:rPr>
                <w:sz w:val="22"/>
                <w:szCs w:val="22"/>
              </w:rPr>
              <w:t xml:space="preserve">exploration, development and utilization of solar, wind, hydro and ocean or tidal energy should not be subject to the forty percent (40%) foreign equity limitation since these resources are (1) inexhaustible, hence, beyond the ambit of the term “natural resources” in Section 2, Article XII of the Constitution which contemplates only those resources that are susceptible of appropriation as understood under the constitutional provision, limited and exhaustible, and (2) considered as kinetic energy and therefore excluded from the term “all forces of potential energy”; but that the use of water sources, if the same is directly harvested from the source by foreign </w:t>
            </w:r>
            <w:r>
              <w:rPr>
                <w:sz w:val="22"/>
                <w:szCs w:val="22"/>
              </w:rPr>
              <w:lastRenderedPageBreak/>
              <w:t>nationals or entities, may not be allowed based on the Water Code of the Philippines</w:t>
            </w:r>
            <w:r>
              <w:rPr>
                <w:rStyle w:val="FootnoteReference"/>
                <w:sz w:val="22"/>
                <w:szCs w:val="22"/>
              </w:rPr>
              <w:footnoteReference w:id="2"/>
            </w:r>
            <w:r>
              <w:rPr>
                <w:sz w:val="22"/>
                <w:szCs w:val="22"/>
              </w:rPr>
              <w:t xml:space="preserve"> and </w:t>
            </w:r>
            <w:r>
              <w:rPr>
                <w:i/>
                <w:iCs/>
                <w:sz w:val="22"/>
                <w:szCs w:val="22"/>
              </w:rPr>
              <w:t>IDEALS, Inc. vs. PSALM</w:t>
            </w:r>
            <w:r>
              <w:rPr>
                <w:rStyle w:val="FootnoteReference"/>
                <w:sz w:val="22"/>
                <w:szCs w:val="22"/>
              </w:rPr>
              <w:footnoteReference w:id="3"/>
            </w:r>
            <w:r w:rsidRPr="00317225">
              <w:rPr>
                <w:sz w:val="22"/>
                <w:szCs w:val="22"/>
              </w:rPr>
              <w:t>;</w:t>
            </w:r>
            <w:r>
              <w:rPr>
                <w:sz w:val="22"/>
                <w:szCs w:val="22"/>
              </w:rPr>
              <w:t xml:space="preserve"> </w:t>
            </w:r>
          </w:p>
          <w:p w14:paraId="2FF3AC5B" w14:textId="77777777" w:rsidR="00684141" w:rsidRDefault="00684141" w:rsidP="00684141">
            <w:pPr>
              <w:rPr>
                <w:b/>
                <w:bCs/>
                <w:sz w:val="22"/>
                <w:szCs w:val="22"/>
              </w:rPr>
            </w:pPr>
          </w:p>
        </w:tc>
        <w:tc>
          <w:tcPr>
            <w:tcW w:w="5096" w:type="dxa"/>
          </w:tcPr>
          <w:p w14:paraId="3227F42E" w14:textId="77777777" w:rsidR="00684141" w:rsidRPr="00DF2A34" w:rsidRDefault="00684141" w:rsidP="00472CB8">
            <w:pPr>
              <w:pStyle w:val="NoSpacing"/>
              <w:jc w:val="both"/>
              <w:rPr>
                <w:rFonts w:ascii="Arial" w:eastAsia="Times New Roman" w:hAnsi="Arial" w:cs="Arial"/>
                <w:bCs/>
                <w:color w:val="000000" w:themeColor="text1"/>
              </w:rPr>
            </w:pPr>
          </w:p>
        </w:tc>
        <w:tc>
          <w:tcPr>
            <w:tcW w:w="3975" w:type="dxa"/>
          </w:tcPr>
          <w:p w14:paraId="41CF4960" w14:textId="77777777" w:rsidR="00684141" w:rsidRPr="00DF2A34" w:rsidRDefault="00684141" w:rsidP="00472CB8">
            <w:pPr>
              <w:pStyle w:val="NoSpacing"/>
              <w:jc w:val="both"/>
              <w:rPr>
                <w:rFonts w:ascii="Arial" w:hAnsi="Arial" w:cs="Arial"/>
              </w:rPr>
            </w:pPr>
          </w:p>
        </w:tc>
      </w:tr>
      <w:tr w:rsidR="00684141" w:rsidRPr="00DF2A34" w14:paraId="5957ECF9" w14:textId="77777777" w:rsidTr="00472CB8">
        <w:trPr>
          <w:trHeight w:val="2046"/>
        </w:trPr>
        <w:tc>
          <w:tcPr>
            <w:tcW w:w="6091" w:type="dxa"/>
          </w:tcPr>
          <w:p w14:paraId="7F6D5627" w14:textId="77777777" w:rsidR="00684141" w:rsidRPr="00886878" w:rsidRDefault="00684141" w:rsidP="00684141">
            <w:pPr>
              <w:rPr>
                <w:rFonts w:cs="Arial"/>
                <w:sz w:val="22"/>
                <w:szCs w:val="22"/>
                <w:highlight w:val="yellow"/>
              </w:rPr>
            </w:pPr>
            <w:r w:rsidRPr="001972E4">
              <w:rPr>
                <w:b/>
                <w:bCs/>
                <w:sz w:val="22"/>
                <w:szCs w:val="22"/>
              </w:rPr>
              <w:t>WHEREAS,</w:t>
            </w:r>
            <w:r w:rsidRPr="005116F6">
              <w:rPr>
                <w:rFonts w:cs="Arial"/>
                <w:sz w:val="22"/>
                <w:szCs w:val="22"/>
              </w:rPr>
              <w:t xml:space="preserve"> </w:t>
            </w:r>
            <w:r>
              <w:rPr>
                <w:rFonts w:cs="Arial"/>
                <w:sz w:val="22"/>
                <w:szCs w:val="22"/>
              </w:rPr>
              <w:t xml:space="preserve">removing the </w:t>
            </w:r>
            <w:r w:rsidRPr="0093358D">
              <w:rPr>
                <w:rFonts w:cs="Arial"/>
                <w:sz w:val="22"/>
                <w:szCs w:val="22"/>
              </w:rPr>
              <w:t>nationality requirement imposed on businesses engaged in the exploration, development and utilization of solar, wind, hydropower and ocean energy</w:t>
            </w:r>
            <w:r>
              <w:rPr>
                <w:rFonts w:cs="Arial"/>
                <w:sz w:val="22"/>
                <w:szCs w:val="22"/>
              </w:rPr>
              <w:t xml:space="preserve"> thereby </w:t>
            </w:r>
            <w:r>
              <w:rPr>
                <w:sz w:val="22"/>
                <w:szCs w:val="22"/>
              </w:rPr>
              <w:t xml:space="preserve">allowing the </w:t>
            </w:r>
            <w:r w:rsidRPr="0093358D">
              <w:rPr>
                <w:rFonts w:cs="Arial"/>
                <w:sz w:val="22"/>
                <w:szCs w:val="22"/>
              </w:rPr>
              <w:t xml:space="preserve">entry of foreign capital into the </w:t>
            </w:r>
            <w:r>
              <w:rPr>
                <w:rFonts w:cs="Arial"/>
                <w:sz w:val="22"/>
                <w:szCs w:val="22"/>
              </w:rPr>
              <w:t xml:space="preserve">country’s </w:t>
            </w:r>
            <w:r w:rsidRPr="0093358D">
              <w:rPr>
                <w:rFonts w:cs="Arial"/>
                <w:sz w:val="22"/>
                <w:szCs w:val="22"/>
              </w:rPr>
              <w:t>RE industry</w:t>
            </w:r>
            <w:r w:rsidRPr="001972E4">
              <w:rPr>
                <w:b/>
                <w:bCs/>
                <w:sz w:val="22"/>
                <w:szCs w:val="22"/>
              </w:rPr>
              <w:t xml:space="preserve"> </w:t>
            </w:r>
            <w:r w:rsidRPr="001972E4">
              <w:rPr>
                <w:sz w:val="22"/>
                <w:szCs w:val="22"/>
              </w:rPr>
              <w:t>will</w:t>
            </w:r>
            <w:r>
              <w:rPr>
                <w:sz w:val="22"/>
                <w:szCs w:val="22"/>
              </w:rPr>
              <w:t xml:space="preserve"> address </w:t>
            </w:r>
            <w:r>
              <w:rPr>
                <w:rFonts w:cs="Arial"/>
                <w:sz w:val="22"/>
                <w:szCs w:val="22"/>
              </w:rPr>
              <w:t>one of the significant challenges</w:t>
            </w:r>
            <w:r w:rsidRPr="0093358D">
              <w:rPr>
                <w:rFonts w:cs="Arial"/>
                <w:sz w:val="22"/>
                <w:szCs w:val="22"/>
              </w:rPr>
              <w:t xml:space="preserve"> </w:t>
            </w:r>
            <w:r>
              <w:rPr>
                <w:rFonts w:cs="Arial"/>
                <w:sz w:val="22"/>
                <w:szCs w:val="22"/>
              </w:rPr>
              <w:t xml:space="preserve">towards achieving the targeted </w:t>
            </w:r>
            <w:r>
              <w:rPr>
                <w:sz w:val="22"/>
                <w:szCs w:val="22"/>
              </w:rPr>
              <w:t>35% share of RE in the power generation mix</w:t>
            </w:r>
            <w:r>
              <w:rPr>
                <w:rFonts w:cs="Arial"/>
                <w:sz w:val="22"/>
                <w:szCs w:val="22"/>
              </w:rPr>
              <w:t xml:space="preserve"> </w:t>
            </w:r>
            <w:r>
              <w:rPr>
                <w:sz w:val="22"/>
                <w:szCs w:val="22"/>
              </w:rPr>
              <w:t>by 2030 and 50% share by 2040,</w:t>
            </w:r>
            <w:r>
              <w:rPr>
                <w:rStyle w:val="FootnoteReference"/>
                <w:sz w:val="22"/>
                <w:szCs w:val="22"/>
              </w:rPr>
              <w:footnoteReference w:id="4"/>
            </w:r>
            <w:r>
              <w:rPr>
                <w:rFonts w:cs="Arial"/>
                <w:sz w:val="22"/>
                <w:szCs w:val="22"/>
              </w:rPr>
              <w:t xml:space="preserve"> </w:t>
            </w:r>
            <w:r w:rsidRPr="0093358D">
              <w:rPr>
                <w:rFonts w:cs="Arial"/>
                <w:sz w:val="22"/>
                <w:szCs w:val="22"/>
              </w:rPr>
              <w:t>lowering the cost of RE projects</w:t>
            </w:r>
            <w:r>
              <w:rPr>
                <w:rFonts w:cs="Arial"/>
                <w:sz w:val="22"/>
                <w:szCs w:val="22"/>
              </w:rPr>
              <w:t xml:space="preserve">, and </w:t>
            </w:r>
            <w:r w:rsidRPr="0093358D">
              <w:rPr>
                <w:rFonts w:cs="Arial"/>
                <w:sz w:val="22"/>
                <w:szCs w:val="22"/>
              </w:rPr>
              <w:t>mak</w:t>
            </w:r>
            <w:r>
              <w:rPr>
                <w:rFonts w:cs="Arial"/>
                <w:sz w:val="22"/>
                <w:szCs w:val="22"/>
              </w:rPr>
              <w:t>ing</w:t>
            </w:r>
            <w:r w:rsidRPr="0093358D">
              <w:rPr>
                <w:rFonts w:cs="Arial"/>
                <w:sz w:val="22"/>
                <w:szCs w:val="22"/>
              </w:rPr>
              <w:t xml:space="preserve"> cleaner energy more accessible to the greater public</w:t>
            </w:r>
            <w:r>
              <w:rPr>
                <w:rFonts w:cs="Arial"/>
                <w:sz w:val="22"/>
                <w:szCs w:val="22"/>
              </w:rPr>
              <w:t>.</w:t>
            </w:r>
            <w:r w:rsidRPr="00D018B4" w:rsidDel="00D018B4">
              <w:rPr>
                <w:rFonts w:cs="Arial"/>
                <w:sz w:val="22"/>
                <w:szCs w:val="22"/>
              </w:rPr>
              <w:t xml:space="preserve"> </w:t>
            </w:r>
          </w:p>
          <w:p w14:paraId="29330B52" w14:textId="77777777" w:rsidR="00684141" w:rsidRDefault="00684141" w:rsidP="00684141">
            <w:pPr>
              <w:rPr>
                <w:b/>
                <w:bCs/>
                <w:sz w:val="22"/>
                <w:szCs w:val="22"/>
              </w:rPr>
            </w:pPr>
          </w:p>
        </w:tc>
        <w:tc>
          <w:tcPr>
            <w:tcW w:w="5096" w:type="dxa"/>
          </w:tcPr>
          <w:p w14:paraId="26460C3A" w14:textId="77777777" w:rsidR="00684141" w:rsidRPr="00DF2A34" w:rsidRDefault="00684141" w:rsidP="00472CB8">
            <w:pPr>
              <w:pStyle w:val="NoSpacing"/>
              <w:jc w:val="both"/>
              <w:rPr>
                <w:rFonts w:ascii="Arial" w:eastAsia="Times New Roman" w:hAnsi="Arial" w:cs="Arial"/>
                <w:bCs/>
                <w:color w:val="000000" w:themeColor="text1"/>
              </w:rPr>
            </w:pPr>
          </w:p>
        </w:tc>
        <w:tc>
          <w:tcPr>
            <w:tcW w:w="3975" w:type="dxa"/>
          </w:tcPr>
          <w:p w14:paraId="684FD2D4" w14:textId="77777777" w:rsidR="00684141" w:rsidRPr="00DF2A34" w:rsidRDefault="00684141" w:rsidP="00472CB8">
            <w:pPr>
              <w:pStyle w:val="NoSpacing"/>
              <w:jc w:val="both"/>
              <w:rPr>
                <w:rFonts w:ascii="Arial" w:hAnsi="Arial" w:cs="Arial"/>
              </w:rPr>
            </w:pPr>
          </w:p>
        </w:tc>
      </w:tr>
      <w:tr w:rsidR="00684141" w:rsidRPr="00DF2A34" w14:paraId="6D37CBC8" w14:textId="77777777" w:rsidTr="00684141">
        <w:trPr>
          <w:trHeight w:val="1374"/>
        </w:trPr>
        <w:tc>
          <w:tcPr>
            <w:tcW w:w="6091" w:type="dxa"/>
          </w:tcPr>
          <w:p w14:paraId="094D96FB" w14:textId="77777777" w:rsidR="00684141" w:rsidRDefault="00684141" w:rsidP="00684141">
            <w:pPr>
              <w:rPr>
                <w:sz w:val="22"/>
                <w:szCs w:val="22"/>
              </w:rPr>
            </w:pPr>
            <w:r>
              <w:rPr>
                <w:b/>
                <w:bCs/>
                <w:sz w:val="22"/>
                <w:szCs w:val="22"/>
              </w:rPr>
              <w:t xml:space="preserve">NOW THEREFORE, </w:t>
            </w:r>
            <w:r>
              <w:rPr>
                <w:sz w:val="22"/>
                <w:szCs w:val="22"/>
              </w:rPr>
              <w:t>for and in consideration of the foregoing and to give meaning and purpose to the abovementioned DOJ Opinion, the DOE hereby issues, adopts, and promulgates the following amendments to the RE Act IRR:</w:t>
            </w:r>
          </w:p>
          <w:p w14:paraId="1D2B041F" w14:textId="77777777" w:rsidR="00684141" w:rsidRDefault="00684141" w:rsidP="00684141">
            <w:pPr>
              <w:rPr>
                <w:b/>
                <w:bCs/>
                <w:sz w:val="22"/>
                <w:szCs w:val="22"/>
              </w:rPr>
            </w:pPr>
          </w:p>
        </w:tc>
        <w:tc>
          <w:tcPr>
            <w:tcW w:w="5096" w:type="dxa"/>
          </w:tcPr>
          <w:p w14:paraId="1649CFD0" w14:textId="77777777" w:rsidR="00684141" w:rsidRPr="00DF2A34" w:rsidRDefault="00684141" w:rsidP="00472CB8">
            <w:pPr>
              <w:pStyle w:val="NoSpacing"/>
              <w:jc w:val="both"/>
              <w:rPr>
                <w:rFonts w:ascii="Arial" w:eastAsia="Times New Roman" w:hAnsi="Arial" w:cs="Arial"/>
                <w:bCs/>
                <w:color w:val="000000" w:themeColor="text1"/>
              </w:rPr>
            </w:pPr>
          </w:p>
        </w:tc>
        <w:tc>
          <w:tcPr>
            <w:tcW w:w="3975" w:type="dxa"/>
          </w:tcPr>
          <w:p w14:paraId="28B61B08" w14:textId="77777777" w:rsidR="00684141" w:rsidRPr="00DF2A34" w:rsidRDefault="00684141" w:rsidP="00472CB8">
            <w:pPr>
              <w:pStyle w:val="NoSpacing"/>
              <w:jc w:val="both"/>
              <w:rPr>
                <w:rFonts w:ascii="Arial" w:hAnsi="Arial" w:cs="Arial"/>
              </w:rPr>
            </w:pPr>
          </w:p>
        </w:tc>
      </w:tr>
      <w:tr w:rsidR="00684141" w:rsidRPr="00DF2A34" w14:paraId="4579D11F" w14:textId="77777777" w:rsidTr="00472CB8">
        <w:trPr>
          <w:trHeight w:val="2046"/>
        </w:trPr>
        <w:tc>
          <w:tcPr>
            <w:tcW w:w="6091" w:type="dxa"/>
          </w:tcPr>
          <w:p w14:paraId="64EFE2EC" w14:textId="77777777" w:rsidR="00684141" w:rsidRDefault="00684141" w:rsidP="00684141">
            <w:pPr>
              <w:rPr>
                <w:sz w:val="22"/>
                <w:szCs w:val="22"/>
              </w:rPr>
            </w:pPr>
            <w:r w:rsidRPr="000F0852">
              <w:rPr>
                <w:b/>
                <w:bCs/>
                <w:sz w:val="22"/>
                <w:szCs w:val="22"/>
              </w:rPr>
              <w:t>Section</w:t>
            </w:r>
            <w:r>
              <w:rPr>
                <w:b/>
                <w:bCs/>
                <w:sz w:val="22"/>
                <w:szCs w:val="22"/>
              </w:rPr>
              <w:t xml:space="preserve"> 1. Deletion of Section 19 (A) of the RE Act IRR. </w:t>
            </w:r>
            <w:r>
              <w:rPr>
                <w:sz w:val="22"/>
                <w:szCs w:val="22"/>
              </w:rPr>
              <w:t>Section 19 (A) of DC No. DC2009-05-0008 is hereby deleted.</w:t>
            </w:r>
          </w:p>
          <w:p w14:paraId="6E2BC6EC" w14:textId="77777777" w:rsidR="00684141" w:rsidRDefault="00684141" w:rsidP="00684141">
            <w:pPr>
              <w:rPr>
                <w:b/>
                <w:bCs/>
                <w:sz w:val="22"/>
                <w:szCs w:val="22"/>
              </w:rPr>
            </w:pPr>
          </w:p>
        </w:tc>
        <w:tc>
          <w:tcPr>
            <w:tcW w:w="5096" w:type="dxa"/>
          </w:tcPr>
          <w:p w14:paraId="207B4E09" w14:textId="77777777" w:rsidR="00684141" w:rsidRPr="00DF2A34" w:rsidRDefault="00684141" w:rsidP="00472CB8">
            <w:pPr>
              <w:pStyle w:val="NoSpacing"/>
              <w:jc w:val="both"/>
              <w:rPr>
                <w:rFonts w:ascii="Arial" w:eastAsia="Times New Roman" w:hAnsi="Arial" w:cs="Arial"/>
                <w:bCs/>
                <w:color w:val="000000" w:themeColor="text1"/>
              </w:rPr>
            </w:pPr>
          </w:p>
        </w:tc>
        <w:tc>
          <w:tcPr>
            <w:tcW w:w="3975" w:type="dxa"/>
          </w:tcPr>
          <w:p w14:paraId="356D8450" w14:textId="77777777" w:rsidR="00684141" w:rsidRPr="00DF2A34" w:rsidRDefault="00684141" w:rsidP="00472CB8">
            <w:pPr>
              <w:pStyle w:val="NoSpacing"/>
              <w:jc w:val="both"/>
              <w:rPr>
                <w:rFonts w:ascii="Arial" w:hAnsi="Arial" w:cs="Arial"/>
              </w:rPr>
            </w:pPr>
          </w:p>
        </w:tc>
      </w:tr>
      <w:tr w:rsidR="00684141" w:rsidRPr="00DF2A34" w14:paraId="77EBB9FC" w14:textId="77777777" w:rsidTr="00472CB8">
        <w:trPr>
          <w:trHeight w:val="2046"/>
        </w:trPr>
        <w:tc>
          <w:tcPr>
            <w:tcW w:w="6091" w:type="dxa"/>
          </w:tcPr>
          <w:p w14:paraId="2831AED2" w14:textId="77777777" w:rsidR="00B92074" w:rsidRDefault="00B92074" w:rsidP="00B92074">
            <w:pPr>
              <w:rPr>
                <w:sz w:val="22"/>
                <w:szCs w:val="22"/>
              </w:rPr>
            </w:pPr>
            <w:r>
              <w:rPr>
                <w:b/>
                <w:bCs/>
                <w:sz w:val="22"/>
                <w:szCs w:val="22"/>
              </w:rPr>
              <w:lastRenderedPageBreak/>
              <w:t xml:space="preserve">Section 2. Amendment to Section 19 (B) of the RE Act IRR. </w:t>
            </w:r>
            <w:r>
              <w:rPr>
                <w:sz w:val="22"/>
                <w:szCs w:val="22"/>
              </w:rPr>
              <w:t xml:space="preserve">Section 19 (B) of DC No. DC2009-05-0008 is hereby renumbered as Section 19 (A) and amended to read, as follows: </w:t>
            </w:r>
          </w:p>
          <w:p w14:paraId="150C6810" w14:textId="77777777" w:rsidR="00B92074" w:rsidRDefault="00B92074" w:rsidP="00B92074">
            <w:pPr>
              <w:rPr>
                <w:sz w:val="22"/>
                <w:szCs w:val="22"/>
              </w:rPr>
            </w:pPr>
          </w:p>
          <w:p w14:paraId="1800E304" w14:textId="77777777" w:rsidR="00B92074" w:rsidRPr="00CD73AA" w:rsidRDefault="00B92074" w:rsidP="00B92074">
            <w:pPr>
              <w:ind w:firstLine="360"/>
              <w:rPr>
                <w:rFonts w:cs="Arial"/>
                <w:b/>
                <w:bCs/>
                <w:sz w:val="22"/>
                <w:szCs w:val="22"/>
              </w:rPr>
            </w:pPr>
            <w:r w:rsidRPr="00CD73AA">
              <w:rPr>
                <w:rFonts w:cs="Arial"/>
                <w:b/>
                <w:bCs/>
                <w:sz w:val="22"/>
                <w:szCs w:val="22"/>
              </w:rPr>
              <w:t>SEC. 19. Renewable Energy Service/Operating Contract</w:t>
            </w:r>
          </w:p>
          <w:p w14:paraId="7511C294" w14:textId="77777777" w:rsidR="00B92074" w:rsidRDefault="00B92074" w:rsidP="00B92074">
            <w:pPr>
              <w:rPr>
                <w:sz w:val="22"/>
                <w:szCs w:val="22"/>
              </w:rPr>
            </w:pPr>
          </w:p>
          <w:p w14:paraId="45629576" w14:textId="77777777" w:rsidR="00B92074" w:rsidRPr="00317225" w:rsidRDefault="00B92074" w:rsidP="00B92074">
            <w:pPr>
              <w:pStyle w:val="ListParagraph"/>
              <w:numPr>
                <w:ilvl w:val="0"/>
                <w:numId w:val="26"/>
              </w:numPr>
              <w:rPr>
                <w:rFonts w:cs="Arial"/>
                <w:b/>
                <w:bCs/>
                <w:sz w:val="22"/>
                <w:szCs w:val="22"/>
              </w:rPr>
            </w:pPr>
            <w:r w:rsidRPr="00317225">
              <w:rPr>
                <w:rFonts w:cs="Arial"/>
                <w:b/>
                <w:bCs/>
                <w:sz w:val="22"/>
                <w:szCs w:val="22"/>
              </w:rPr>
              <w:t>Parties to a Service/Operating Contract</w:t>
            </w:r>
          </w:p>
          <w:p w14:paraId="720CA6B5" w14:textId="77777777" w:rsidR="00B92074" w:rsidRDefault="00B92074" w:rsidP="00B92074">
            <w:pPr>
              <w:pStyle w:val="ListParagraph"/>
              <w:rPr>
                <w:rFonts w:cs="Arial"/>
              </w:rPr>
            </w:pPr>
          </w:p>
          <w:p w14:paraId="6A645B99" w14:textId="77777777" w:rsidR="00B92074" w:rsidRDefault="00B92074" w:rsidP="00B92074">
            <w:pPr>
              <w:pStyle w:val="ListParagraph"/>
              <w:ind w:left="851" w:right="237"/>
              <w:rPr>
                <w:rFonts w:cs="Arial"/>
                <w:sz w:val="22"/>
                <w:szCs w:val="22"/>
                <w:u w:val="single"/>
              </w:rPr>
            </w:pPr>
            <w:r w:rsidRPr="00317225">
              <w:rPr>
                <w:rFonts w:cs="Arial"/>
                <w:sz w:val="22"/>
                <w:szCs w:val="22"/>
              </w:rPr>
              <w:t xml:space="preserve">The State may directly undertake </w:t>
            </w:r>
            <w:r w:rsidRPr="00B749B6">
              <w:rPr>
                <w:rFonts w:cs="Arial"/>
                <w:sz w:val="22"/>
                <w:szCs w:val="22"/>
              </w:rPr>
              <w:t>the exploration, development, production and utilization of RE resources</w:t>
            </w:r>
            <w:r w:rsidRPr="00317225">
              <w:rPr>
                <w:rFonts w:cs="Arial"/>
                <w:sz w:val="22"/>
                <w:szCs w:val="22"/>
              </w:rPr>
              <w:t xml:space="preserve">, or it may enter into </w:t>
            </w:r>
            <w:r w:rsidRPr="00B749B6">
              <w:rPr>
                <w:rFonts w:cs="Arial"/>
                <w:sz w:val="22"/>
                <w:szCs w:val="22"/>
              </w:rPr>
              <w:t>RE Service or Operating Contracts</w:t>
            </w:r>
            <w:r w:rsidRPr="00317225">
              <w:rPr>
                <w:rFonts w:cs="Arial"/>
                <w:sz w:val="22"/>
                <w:szCs w:val="22"/>
              </w:rPr>
              <w:t xml:space="preserve"> with</w:t>
            </w:r>
            <w:r>
              <w:rPr>
                <w:rFonts w:cs="Arial"/>
                <w:sz w:val="22"/>
                <w:szCs w:val="22"/>
              </w:rPr>
              <w:t xml:space="preserve"> Filipino </w:t>
            </w:r>
            <w:r w:rsidRPr="00B749B6">
              <w:rPr>
                <w:rFonts w:cs="Arial"/>
                <w:sz w:val="22"/>
                <w:szCs w:val="22"/>
              </w:rPr>
              <w:t>and/or foreign</w:t>
            </w:r>
            <w:r>
              <w:rPr>
                <w:rFonts w:cs="Arial"/>
                <w:sz w:val="22"/>
                <w:szCs w:val="22"/>
              </w:rPr>
              <w:t xml:space="preserve"> citizens </w:t>
            </w:r>
            <w:r w:rsidRPr="00317225">
              <w:rPr>
                <w:rFonts w:cs="Arial"/>
                <w:sz w:val="22"/>
                <w:szCs w:val="22"/>
              </w:rPr>
              <w:t xml:space="preserve">or </w:t>
            </w:r>
            <w:r w:rsidRPr="00AA34AB">
              <w:rPr>
                <w:rFonts w:cs="Arial"/>
                <w:sz w:val="22"/>
                <w:szCs w:val="22"/>
              </w:rPr>
              <w:t>Filipino and/or foreign</w:t>
            </w:r>
            <w:r>
              <w:rPr>
                <w:rFonts w:cs="Arial"/>
                <w:sz w:val="22"/>
                <w:szCs w:val="22"/>
              </w:rPr>
              <w:t>-owned</w:t>
            </w:r>
            <w:r w:rsidRPr="00AA34AB">
              <w:rPr>
                <w:rFonts w:cs="Arial"/>
                <w:sz w:val="22"/>
                <w:szCs w:val="22"/>
              </w:rPr>
              <w:t xml:space="preserve"> </w:t>
            </w:r>
            <w:r w:rsidRPr="00317225">
              <w:rPr>
                <w:rFonts w:cs="Arial"/>
                <w:sz w:val="22"/>
                <w:szCs w:val="22"/>
              </w:rPr>
              <w:t>corporations or associations</w:t>
            </w:r>
            <w:r w:rsidRPr="00B749B6">
              <w:rPr>
                <w:rFonts w:cs="Arial"/>
                <w:sz w:val="22"/>
                <w:szCs w:val="22"/>
              </w:rPr>
              <w:t>:</w:t>
            </w:r>
            <w:r>
              <w:rPr>
                <w:rFonts w:cs="Arial"/>
                <w:sz w:val="22"/>
                <w:szCs w:val="22"/>
              </w:rPr>
              <w:t xml:space="preserve"> </w:t>
            </w:r>
            <w:r w:rsidRPr="00317225">
              <w:rPr>
                <w:rFonts w:cs="Arial"/>
                <w:i/>
                <w:iCs/>
                <w:sz w:val="22"/>
                <w:szCs w:val="22"/>
              </w:rPr>
              <w:t xml:space="preserve">Provided, </w:t>
            </w:r>
            <w:r w:rsidRPr="00317225">
              <w:rPr>
                <w:rFonts w:cs="Arial"/>
                <w:sz w:val="22"/>
                <w:szCs w:val="22"/>
              </w:rPr>
              <w:t xml:space="preserve">That RE Service or Operating Contracts </w:t>
            </w:r>
            <w:r>
              <w:rPr>
                <w:rFonts w:cs="Arial"/>
                <w:sz w:val="22"/>
                <w:szCs w:val="22"/>
              </w:rPr>
              <w:t xml:space="preserve">for </w:t>
            </w:r>
            <w:r w:rsidRPr="00317225">
              <w:rPr>
                <w:rFonts w:cs="Arial"/>
                <w:sz w:val="22"/>
                <w:szCs w:val="22"/>
              </w:rPr>
              <w:t>the following activities shall be reserved to Filipino citizens or corporations or associations at least sixty percent (60%) of whose capital is owned by Filipinos:</w:t>
            </w:r>
          </w:p>
          <w:p w14:paraId="271AE183" w14:textId="77777777" w:rsidR="00B92074" w:rsidRDefault="00B92074" w:rsidP="00B92074">
            <w:pPr>
              <w:pStyle w:val="ListParagraph"/>
              <w:ind w:left="851" w:right="237"/>
              <w:rPr>
                <w:rFonts w:cs="Arial"/>
                <w:sz w:val="22"/>
                <w:szCs w:val="22"/>
                <w:u w:val="single"/>
              </w:rPr>
            </w:pPr>
          </w:p>
          <w:p w14:paraId="4D4A2BC4" w14:textId="77777777" w:rsidR="00B92074" w:rsidRPr="00317225" w:rsidRDefault="00B92074" w:rsidP="00B92074">
            <w:pPr>
              <w:pStyle w:val="ListParagraph"/>
              <w:numPr>
                <w:ilvl w:val="0"/>
                <w:numId w:val="27"/>
              </w:numPr>
              <w:ind w:right="237"/>
              <w:rPr>
                <w:rFonts w:cs="Arial"/>
                <w:sz w:val="22"/>
                <w:szCs w:val="22"/>
              </w:rPr>
            </w:pPr>
            <w:r w:rsidRPr="00317225">
              <w:rPr>
                <w:rFonts w:cs="Arial"/>
                <w:sz w:val="22"/>
                <w:szCs w:val="22"/>
              </w:rPr>
              <w:t>The appropriation of water direct from a natural source</w:t>
            </w:r>
            <w:r w:rsidRPr="00EA4AF3">
              <w:rPr>
                <w:rStyle w:val="FootnoteReference"/>
                <w:rFonts w:cs="Arial"/>
                <w:sz w:val="22"/>
                <w:szCs w:val="22"/>
              </w:rPr>
              <w:footnoteReference w:id="5"/>
            </w:r>
            <w:r w:rsidRPr="00317225">
              <w:rPr>
                <w:rFonts w:cs="Arial"/>
                <w:sz w:val="22"/>
                <w:szCs w:val="22"/>
              </w:rPr>
              <w:t xml:space="preserve">; or </w:t>
            </w:r>
          </w:p>
          <w:p w14:paraId="317DDB7D" w14:textId="77777777" w:rsidR="00B92074" w:rsidRPr="00317225" w:rsidRDefault="00B92074" w:rsidP="00B92074">
            <w:pPr>
              <w:pStyle w:val="ListParagraph"/>
              <w:numPr>
                <w:ilvl w:val="0"/>
                <w:numId w:val="27"/>
              </w:numPr>
              <w:ind w:right="237"/>
              <w:rPr>
                <w:rFonts w:cs="Arial"/>
              </w:rPr>
            </w:pPr>
            <w:r w:rsidRPr="00B749B6">
              <w:rPr>
                <w:rFonts w:cs="Arial"/>
                <w:sz w:val="22"/>
                <w:szCs w:val="22"/>
              </w:rPr>
              <w:t>The exploration, development and utilization of geothermal resources, except for financial or technical assistance agreements for large-scale exploration, development and utilization of geothermal resources pursuant to Article XII, Section 2 of the Philippine Constitution.</w:t>
            </w:r>
            <w:r w:rsidRPr="00317225">
              <w:rPr>
                <w:rFonts w:cs="Arial"/>
                <w:sz w:val="22"/>
                <w:szCs w:val="22"/>
              </w:rPr>
              <w:tab/>
            </w:r>
          </w:p>
          <w:p w14:paraId="6D5866DA" w14:textId="77777777" w:rsidR="00684141" w:rsidRDefault="00684141" w:rsidP="00684141">
            <w:pPr>
              <w:rPr>
                <w:b/>
                <w:bCs/>
                <w:sz w:val="22"/>
                <w:szCs w:val="22"/>
              </w:rPr>
            </w:pPr>
          </w:p>
        </w:tc>
        <w:tc>
          <w:tcPr>
            <w:tcW w:w="5096" w:type="dxa"/>
          </w:tcPr>
          <w:p w14:paraId="736EBC2B" w14:textId="77777777" w:rsidR="00684141" w:rsidRPr="00DF2A34" w:rsidRDefault="00684141" w:rsidP="00472CB8">
            <w:pPr>
              <w:pStyle w:val="NoSpacing"/>
              <w:jc w:val="both"/>
              <w:rPr>
                <w:rFonts w:ascii="Arial" w:eastAsia="Times New Roman" w:hAnsi="Arial" w:cs="Arial"/>
                <w:bCs/>
                <w:color w:val="000000" w:themeColor="text1"/>
              </w:rPr>
            </w:pPr>
          </w:p>
        </w:tc>
        <w:tc>
          <w:tcPr>
            <w:tcW w:w="3975" w:type="dxa"/>
          </w:tcPr>
          <w:p w14:paraId="7A35AAF0" w14:textId="77777777" w:rsidR="00684141" w:rsidRPr="00DF2A34" w:rsidRDefault="00684141" w:rsidP="00472CB8">
            <w:pPr>
              <w:pStyle w:val="NoSpacing"/>
              <w:jc w:val="both"/>
              <w:rPr>
                <w:rFonts w:ascii="Arial" w:hAnsi="Arial" w:cs="Arial"/>
              </w:rPr>
            </w:pPr>
          </w:p>
        </w:tc>
      </w:tr>
      <w:tr w:rsidR="00684141" w:rsidRPr="00DF2A34" w14:paraId="44775A62" w14:textId="77777777" w:rsidTr="00472CB8">
        <w:trPr>
          <w:trHeight w:val="2046"/>
        </w:trPr>
        <w:tc>
          <w:tcPr>
            <w:tcW w:w="6091" w:type="dxa"/>
          </w:tcPr>
          <w:p w14:paraId="3B0B18AA" w14:textId="77777777" w:rsidR="00B92074" w:rsidRPr="00E85114" w:rsidRDefault="00B92074" w:rsidP="00B92074">
            <w:pPr>
              <w:rPr>
                <w:sz w:val="22"/>
                <w:szCs w:val="22"/>
              </w:rPr>
            </w:pPr>
            <w:r>
              <w:rPr>
                <w:b/>
                <w:bCs/>
                <w:sz w:val="22"/>
                <w:szCs w:val="22"/>
              </w:rPr>
              <w:lastRenderedPageBreak/>
              <w:t xml:space="preserve">Section 3. Renumbering of Section 19 (C) and (D) of the RE Act IRR. </w:t>
            </w:r>
            <w:r>
              <w:rPr>
                <w:sz w:val="22"/>
                <w:szCs w:val="22"/>
              </w:rPr>
              <w:t xml:space="preserve">Section 19 (C) and (D) of DC No. DC2009-05-0008 </w:t>
            </w:r>
            <w:r w:rsidRPr="00E85114">
              <w:rPr>
                <w:sz w:val="22"/>
                <w:szCs w:val="22"/>
              </w:rPr>
              <w:t>are hereby renumbered</w:t>
            </w:r>
            <w:r>
              <w:rPr>
                <w:sz w:val="22"/>
                <w:szCs w:val="22"/>
              </w:rPr>
              <w:t xml:space="preserve"> as:</w:t>
            </w:r>
            <w:r w:rsidRPr="00E85114">
              <w:rPr>
                <w:sz w:val="22"/>
                <w:szCs w:val="22"/>
              </w:rPr>
              <w:t xml:space="preserve"> </w:t>
            </w:r>
          </w:p>
          <w:p w14:paraId="33BE0814" w14:textId="77777777" w:rsidR="00B92074" w:rsidRDefault="00B92074" w:rsidP="00B92074">
            <w:pPr>
              <w:rPr>
                <w:b/>
                <w:bCs/>
                <w:sz w:val="22"/>
                <w:szCs w:val="22"/>
              </w:rPr>
            </w:pPr>
          </w:p>
          <w:p w14:paraId="1C48A456" w14:textId="77777777" w:rsidR="00B92074" w:rsidRPr="00317225" w:rsidRDefault="00B92074" w:rsidP="00B92074">
            <w:pPr>
              <w:pStyle w:val="ListParagraph"/>
              <w:numPr>
                <w:ilvl w:val="0"/>
                <w:numId w:val="28"/>
              </w:numPr>
              <w:ind w:left="1134" w:right="237"/>
              <w:rPr>
                <w:rFonts w:cs="Arial"/>
                <w:b/>
                <w:bCs/>
                <w:sz w:val="22"/>
                <w:szCs w:val="22"/>
              </w:rPr>
            </w:pPr>
            <w:r w:rsidRPr="00317225">
              <w:rPr>
                <w:rFonts w:cs="Arial"/>
                <w:b/>
                <w:bCs/>
                <w:sz w:val="22"/>
                <w:szCs w:val="22"/>
              </w:rPr>
              <w:t>Guidelines on Award of RE Service/Operating Contract</w:t>
            </w:r>
          </w:p>
          <w:p w14:paraId="29D52C25" w14:textId="77777777" w:rsidR="00B92074" w:rsidRPr="00317225" w:rsidRDefault="00B92074" w:rsidP="00B92074">
            <w:pPr>
              <w:pStyle w:val="ListParagraph"/>
              <w:ind w:right="237"/>
              <w:rPr>
                <w:rFonts w:cs="Arial"/>
                <w:sz w:val="22"/>
                <w:szCs w:val="22"/>
              </w:rPr>
            </w:pPr>
          </w:p>
          <w:p w14:paraId="720B440E" w14:textId="77777777" w:rsidR="00B92074" w:rsidRPr="00317225" w:rsidRDefault="00B92074" w:rsidP="00B92074">
            <w:pPr>
              <w:pStyle w:val="ListParagraph"/>
              <w:ind w:left="851" w:right="237"/>
              <w:rPr>
                <w:rFonts w:cs="Arial"/>
                <w:sz w:val="22"/>
                <w:szCs w:val="22"/>
              </w:rPr>
            </w:pPr>
            <w:r w:rsidRPr="00233A89">
              <w:rPr>
                <w:rFonts w:cs="Arial"/>
                <w:sz w:val="22"/>
                <w:szCs w:val="22"/>
              </w:rPr>
              <w:t>T</w:t>
            </w:r>
            <w:r w:rsidRPr="00317225">
              <w:rPr>
                <w:rFonts w:cs="Arial"/>
                <w:sz w:val="22"/>
                <w:szCs w:val="22"/>
              </w:rPr>
              <w:t>he DOE shall, within one (1) month from the issuance of this IRR, formulate and promulgate the regulatory framework containing the guidelines governing a transparent and competitive system of awarding RE Service/Operating Contracts from pre-development to development/commercial stage, among others.</w:t>
            </w:r>
          </w:p>
          <w:p w14:paraId="353ECB44" w14:textId="77777777" w:rsidR="00B92074" w:rsidRPr="00317225" w:rsidRDefault="00B92074" w:rsidP="00B92074">
            <w:pPr>
              <w:pStyle w:val="ListParagraph"/>
              <w:ind w:left="851" w:right="237"/>
              <w:rPr>
                <w:rFonts w:cs="Arial"/>
                <w:sz w:val="22"/>
                <w:szCs w:val="22"/>
              </w:rPr>
            </w:pPr>
          </w:p>
          <w:p w14:paraId="4508C50C" w14:textId="77777777" w:rsidR="00B92074" w:rsidRDefault="00B92074" w:rsidP="00B92074">
            <w:pPr>
              <w:pStyle w:val="ListParagraph"/>
              <w:ind w:left="851" w:right="237"/>
              <w:rPr>
                <w:rFonts w:cs="Arial"/>
                <w:sz w:val="22"/>
                <w:szCs w:val="22"/>
              </w:rPr>
            </w:pPr>
            <w:r w:rsidRPr="00317225">
              <w:rPr>
                <w:rFonts w:cs="Arial"/>
                <w:sz w:val="22"/>
                <w:szCs w:val="22"/>
              </w:rPr>
              <w:t xml:space="preserve">RE Sectors which are developing or utilizing non-naturally occurring resources such as, but not limited to, biomass, biogas, methane capture, and other waste-to-energy technologies, shall be covered by an RE Operating Contract which shall take into consideration the peculiar conditions and realities attendant to such sector; </w:t>
            </w:r>
            <w:r w:rsidRPr="00317225">
              <w:rPr>
                <w:rFonts w:cs="Arial"/>
                <w:i/>
                <w:iCs/>
                <w:sz w:val="22"/>
                <w:szCs w:val="22"/>
              </w:rPr>
              <w:t>Provided</w:t>
            </w:r>
            <w:r w:rsidRPr="00317225">
              <w:rPr>
                <w:rFonts w:cs="Arial"/>
                <w:sz w:val="22"/>
                <w:szCs w:val="22"/>
              </w:rPr>
              <w:t>, That the biomass sector shall be covered by an RE Operating Contract wherein the biomass developer commits to develop, construct, install, commission, and operate an RE generating facility subject to terms and conditions as specified therein.</w:t>
            </w:r>
          </w:p>
          <w:p w14:paraId="294B020B" w14:textId="77777777" w:rsidR="00684141" w:rsidRDefault="00684141" w:rsidP="00684141">
            <w:pPr>
              <w:rPr>
                <w:b/>
                <w:bCs/>
                <w:sz w:val="22"/>
                <w:szCs w:val="22"/>
              </w:rPr>
            </w:pPr>
          </w:p>
        </w:tc>
        <w:tc>
          <w:tcPr>
            <w:tcW w:w="5096" w:type="dxa"/>
          </w:tcPr>
          <w:p w14:paraId="3D9A1F76" w14:textId="77777777" w:rsidR="00684141" w:rsidRPr="00DF2A34" w:rsidRDefault="00684141" w:rsidP="00472CB8">
            <w:pPr>
              <w:pStyle w:val="NoSpacing"/>
              <w:jc w:val="both"/>
              <w:rPr>
                <w:rFonts w:ascii="Arial" w:eastAsia="Times New Roman" w:hAnsi="Arial" w:cs="Arial"/>
                <w:bCs/>
                <w:color w:val="000000" w:themeColor="text1"/>
              </w:rPr>
            </w:pPr>
          </w:p>
        </w:tc>
        <w:tc>
          <w:tcPr>
            <w:tcW w:w="3975" w:type="dxa"/>
          </w:tcPr>
          <w:p w14:paraId="5CB5C5EF" w14:textId="77777777" w:rsidR="00684141" w:rsidRPr="00DF2A34" w:rsidRDefault="00684141" w:rsidP="00472CB8">
            <w:pPr>
              <w:pStyle w:val="NoSpacing"/>
              <w:jc w:val="both"/>
              <w:rPr>
                <w:rFonts w:ascii="Arial" w:hAnsi="Arial" w:cs="Arial"/>
              </w:rPr>
            </w:pPr>
          </w:p>
        </w:tc>
      </w:tr>
      <w:tr w:rsidR="00684141" w:rsidRPr="00DF2A34" w14:paraId="568657C6" w14:textId="77777777" w:rsidTr="00472CB8">
        <w:trPr>
          <w:trHeight w:val="2046"/>
        </w:trPr>
        <w:tc>
          <w:tcPr>
            <w:tcW w:w="6091" w:type="dxa"/>
          </w:tcPr>
          <w:p w14:paraId="14DA1D9F" w14:textId="77777777" w:rsidR="00B92074" w:rsidRPr="00317225" w:rsidRDefault="00B92074" w:rsidP="00B92074">
            <w:pPr>
              <w:pStyle w:val="ListParagraph"/>
              <w:numPr>
                <w:ilvl w:val="0"/>
                <w:numId w:val="28"/>
              </w:numPr>
              <w:ind w:left="1134"/>
              <w:rPr>
                <w:rFonts w:cs="Arial"/>
                <w:b/>
                <w:bCs/>
                <w:sz w:val="22"/>
                <w:szCs w:val="22"/>
              </w:rPr>
            </w:pPr>
            <w:r w:rsidRPr="00317225">
              <w:rPr>
                <w:rFonts w:cs="Arial"/>
                <w:b/>
                <w:bCs/>
                <w:sz w:val="22"/>
                <w:szCs w:val="22"/>
              </w:rPr>
              <w:lastRenderedPageBreak/>
              <w:t>Compliance with Existing Laws</w:t>
            </w:r>
          </w:p>
          <w:p w14:paraId="0EAF1663" w14:textId="77777777" w:rsidR="00B92074" w:rsidRPr="00317225" w:rsidRDefault="00B92074" w:rsidP="00B92074">
            <w:pPr>
              <w:pStyle w:val="ListParagraph"/>
              <w:rPr>
                <w:rFonts w:cs="Arial"/>
                <w:sz w:val="22"/>
                <w:szCs w:val="22"/>
              </w:rPr>
            </w:pPr>
          </w:p>
          <w:p w14:paraId="6DFA7B3A" w14:textId="77777777" w:rsidR="00B92074" w:rsidRPr="00317225" w:rsidRDefault="00B92074" w:rsidP="00B92074">
            <w:pPr>
              <w:pStyle w:val="ListParagraph"/>
              <w:ind w:left="851" w:right="237"/>
              <w:rPr>
                <w:rFonts w:cs="Arial"/>
                <w:sz w:val="22"/>
                <w:szCs w:val="22"/>
              </w:rPr>
            </w:pPr>
            <w:r w:rsidRPr="00317225">
              <w:rPr>
                <w:rFonts w:cs="Arial"/>
                <w:sz w:val="22"/>
                <w:szCs w:val="22"/>
              </w:rPr>
              <w:t>The regulatory framework for the award of an RE Service/Operating Contract will take into consideration existing related laws on the exploration, development and utilization of RE Resources such as:</w:t>
            </w:r>
          </w:p>
          <w:p w14:paraId="3D5640CE" w14:textId="77777777" w:rsidR="00B92074" w:rsidRPr="00317225" w:rsidRDefault="00B92074" w:rsidP="00B92074">
            <w:pPr>
              <w:pStyle w:val="ListParagraph"/>
              <w:rPr>
                <w:rFonts w:cs="Arial"/>
                <w:sz w:val="22"/>
                <w:szCs w:val="22"/>
              </w:rPr>
            </w:pPr>
          </w:p>
          <w:p w14:paraId="3100E57F" w14:textId="77777777" w:rsidR="00B92074" w:rsidRPr="00317225" w:rsidRDefault="00B92074" w:rsidP="00B92074">
            <w:pPr>
              <w:pStyle w:val="ListParagraph"/>
              <w:numPr>
                <w:ilvl w:val="0"/>
                <w:numId w:val="29"/>
              </w:numPr>
              <w:ind w:left="1134" w:right="521"/>
              <w:rPr>
                <w:rFonts w:cs="Arial"/>
                <w:sz w:val="22"/>
                <w:szCs w:val="22"/>
              </w:rPr>
            </w:pPr>
            <w:r w:rsidRPr="00317225">
              <w:rPr>
                <w:rFonts w:cs="Arial"/>
                <w:sz w:val="22"/>
                <w:szCs w:val="22"/>
              </w:rPr>
              <w:t>R.A. No. 7160, otherwise known as the “Local Government Code”, on the necessity of prior and periodic consultations with the local government units before any RE exploration activity is conducted within their respective jurisdictions. Existing projects shall be considered compliant with this requirement;</w:t>
            </w:r>
          </w:p>
          <w:p w14:paraId="0A70F7A1" w14:textId="77777777" w:rsidR="00B92074" w:rsidRPr="00317225" w:rsidRDefault="00B92074" w:rsidP="00B92074">
            <w:pPr>
              <w:pStyle w:val="ListParagraph"/>
              <w:ind w:left="1134" w:right="521"/>
              <w:rPr>
                <w:rFonts w:cs="Arial"/>
                <w:sz w:val="22"/>
                <w:szCs w:val="22"/>
              </w:rPr>
            </w:pPr>
          </w:p>
          <w:p w14:paraId="2AD8A1B3" w14:textId="77777777" w:rsidR="00B92074" w:rsidRPr="00317225" w:rsidRDefault="00B92074" w:rsidP="00B92074">
            <w:pPr>
              <w:pStyle w:val="ListParagraph"/>
              <w:numPr>
                <w:ilvl w:val="0"/>
                <w:numId w:val="29"/>
              </w:numPr>
              <w:ind w:left="1134" w:right="521"/>
              <w:rPr>
                <w:rFonts w:cs="Arial"/>
                <w:sz w:val="22"/>
                <w:szCs w:val="22"/>
              </w:rPr>
            </w:pPr>
            <w:r w:rsidRPr="00317225">
              <w:rPr>
                <w:rFonts w:cs="Arial"/>
                <w:sz w:val="22"/>
                <w:szCs w:val="22"/>
              </w:rPr>
              <w:t>R.A. No. 8371, otherwise known as the “Indigenous Peoples Rights Act”; and</w:t>
            </w:r>
          </w:p>
          <w:p w14:paraId="53C00B12" w14:textId="77777777" w:rsidR="00B92074" w:rsidRPr="00317225" w:rsidRDefault="00B92074" w:rsidP="00B92074">
            <w:pPr>
              <w:pStyle w:val="ListParagraph"/>
              <w:ind w:left="1134" w:right="521"/>
              <w:rPr>
                <w:rFonts w:cs="Arial"/>
                <w:sz w:val="22"/>
                <w:szCs w:val="22"/>
              </w:rPr>
            </w:pPr>
          </w:p>
          <w:p w14:paraId="0975907A" w14:textId="77777777" w:rsidR="00B92074" w:rsidRPr="00317225" w:rsidRDefault="00B92074" w:rsidP="00B92074">
            <w:pPr>
              <w:pStyle w:val="ListParagraph"/>
              <w:numPr>
                <w:ilvl w:val="0"/>
                <w:numId w:val="29"/>
              </w:numPr>
              <w:ind w:left="1134" w:right="521"/>
              <w:rPr>
                <w:rFonts w:cs="Arial"/>
                <w:sz w:val="22"/>
                <w:szCs w:val="22"/>
              </w:rPr>
            </w:pPr>
            <w:r w:rsidRPr="00317225">
              <w:rPr>
                <w:rFonts w:cs="Arial"/>
                <w:sz w:val="22"/>
                <w:szCs w:val="22"/>
              </w:rPr>
              <w:t>Existing environmental laws and regulations as prescribed by the DENR and/or any other concerned government agency, including compliance with the Environmental Impact Assessment (EIA) System.</w:t>
            </w:r>
          </w:p>
          <w:p w14:paraId="7E34511D" w14:textId="77777777" w:rsidR="00B92074" w:rsidRPr="00317225" w:rsidRDefault="00B92074" w:rsidP="00B92074">
            <w:pPr>
              <w:pStyle w:val="ListParagraph"/>
              <w:rPr>
                <w:rFonts w:cs="Arial"/>
                <w:sz w:val="22"/>
                <w:szCs w:val="22"/>
              </w:rPr>
            </w:pPr>
          </w:p>
          <w:p w14:paraId="3818B99A" w14:textId="77777777" w:rsidR="00B92074" w:rsidRPr="00317225" w:rsidRDefault="00B92074" w:rsidP="00B92074">
            <w:pPr>
              <w:pStyle w:val="ListParagraph"/>
              <w:ind w:left="851" w:right="237"/>
              <w:rPr>
                <w:rFonts w:cs="Arial"/>
                <w:sz w:val="22"/>
                <w:szCs w:val="22"/>
              </w:rPr>
            </w:pPr>
            <w:r w:rsidRPr="00317225">
              <w:rPr>
                <w:rFonts w:cs="Arial"/>
                <w:sz w:val="22"/>
                <w:szCs w:val="22"/>
              </w:rPr>
              <w:t>An Environmental Compliance Certificate (ECC) from the appropriate regional office of the DENR would be sufficient to comply with the Act and this IRR.</w:t>
            </w:r>
          </w:p>
          <w:p w14:paraId="31D34568" w14:textId="77777777" w:rsidR="00684141" w:rsidRDefault="00684141" w:rsidP="00684141">
            <w:pPr>
              <w:rPr>
                <w:b/>
                <w:bCs/>
                <w:sz w:val="22"/>
                <w:szCs w:val="22"/>
              </w:rPr>
            </w:pPr>
          </w:p>
        </w:tc>
        <w:tc>
          <w:tcPr>
            <w:tcW w:w="5096" w:type="dxa"/>
          </w:tcPr>
          <w:p w14:paraId="111A7E87" w14:textId="77777777" w:rsidR="00684141" w:rsidRPr="00DF2A34" w:rsidRDefault="00684141" w:rsidP="00472CB8">
            <w:pPr>
              <w:pStyle w:val="NoSpacing"/>
              <w:jc w:val="both"/>
              <w:rPr>
                <w:rFonts w:ascii="Arial" w:eastAsia="Times New Roman" w:hAnsi="Arial" w:cs="Arial"/>
                <w:bCs/>
                <w:color w:val="000000" w:themeColor="text1"/>
              </w:rPr>
            </w:pPr>
          </w:p>
        </w:tc>
        <w:tc>
          <w:tcPr>
            <w:tcW w:w="3975" w:type="dxa"/>
          </w:tcPr>
          <w:p w14:paraId="4074A90E" w14:textId="77777777" w:rsidR="00684141" w:rsidRPr="00DF2A34" w:rsidRDefault="00684141" w:rsidP="00472CB8">
            <w:pPr>
              <w:pStyle w:val="NoSpacing"/>
              <w:jc w:val="both"/>
              <w:rPr>
                <w:rFonts w:ascii="Arial" w:hAnsi="Arial" w:cs="Arial"/>
              </w:rPr>
            </w:pPr>
          </w:p>
        </w:tc>
      </w:tr>
      <w:tr w:rsidR="00684141" w:rsidRPr="00DF2A34" w14:paraId="7043A351" w14:textId="77777777" w:rsidTr="00B92074">
        <w:trPr>
          <w:trHeight w:val="1285"/>
        </w:trPr>
        <w:tc>
          <w:tcPr>
            <w:tcW w:w="6091" w:type="dxa"/>
          </w:tcPr>
          <w:p w14:paraId="6911F49F" w14:textId="77777777" w:rsidR="00684141" w:rsidRDefault="00B92074" w:rsidP="00684141">
            <w:pPr>
              <w:rPr>
                <w:sz w:val="22"/>
                <w:szCs w:val="22"/>
              </w:rPr>
            </w:pPr>
            <w:r>
              <w:rPr>
                <w:b/>
                <w:bCs/>
                <w:sz w:val="22"/>
                <w:szCs w:val="22"/>
              </w:rPr>
              <w:lastRenderedPageBreak/>
              <w:t xml:space="preserve">Section 4. Separability Clause. </w:t>
            </w:r>
            <w:r>
              <w:rPr>
                <w:sz w:val="22"/>
                <w:szCs w:val="22"/>
              </w:rPr>
              <w:t>If any provision of this Circular is declared invalid or unconstitutional, the other provisions not affected thereby shall remain valid and existing.</w:t>
            </w:r>
          </w:p>
          <w:p w14:paraId="7AE23106" w14:textId="435683FA" w:rsidR="00B92074" w:rsidRPr="00B92074" w:rsidRDefault="00B92074" w:rsidP="00684141">
            <w:pPr>
              <w:rPr>
                <w:sz w:val="22"/>
                <w:szCs w:val="22"/>
              </w:rPr>
            </w:pPr>
          </w:p>
        </w:tc>
        <w:tc>
          <w:tcPr>
            <w:tcW w:w="5096" w:type="dxa"/>
          </w:tcPr>
          <w:p w14:paraId="527FBB2C" w14:textId="77777777" w:rsidR="00684141" w:rsidRPr="00DF2A34" w:rsidRDefault="00684141" w:rsidP="00472CB8">
            <w:pPr>
              <w:pStyle w:val="NoSpacing"/>
              <w:jc w:val="both"/>
              <w:rPr>
                <w:rFonts w:ascii="Arial" w:eastAsia="Times New Roman" w:hAnsi="Arial" w:cs="Arial"/>
                <w:bCs/>
                <w:color w:val="000000" w:themeColor="text1"/>
              </w:rPr>
            </w:pPr>
          </w:p>
        </w:tc>
        <w:tc>
          <w:tcPr>
            <w:tcW w:w="3975" w:type="dxa"/>
          </w:tcPr>
          <w:p w14:paraId="093C7AE7" w14:textId="77777777" w:rsidR="00684141" w:rsidRPr="00DF2A34" w:rsidRDefault="00684141" w:rsidP="00472CB8">
            <w:pPr>
              <w:pStyle w:val="NoSpacing"/>
              <w:jc w:val="both"/>
              <w:rPr>
                <w:rFonts w:ascii="Arial" w:hAnsi="Arial" w:cs="Arial"/>
              </w:rPr>
            </w:pPr>
          </w:p>
        </w:tc>
      </w:tr>
      <w:tr w:rsidR="00684141" w:rsidRPr="00DF2A34" w14:paraId="7D12C98B" w14:textId="77777777" w:rsidTr="00B92074">
        <w:trPr>
          <w:trHeight w:val="1259"/>
        </w:trPr>
        <w:tc>
          <w:tcPr>
            <w:tcW w:w="6091" w:type="dxa"/>
          </w:tcPr>
          <w:p w14:paraId="1049950A" w14:textId="77777777" w:rsidR="00B92074" w:rsidRDefault="00B92074" w:rsidP="00B92074">
            <w:pPr>
              <w:rPr>
                <w:sz w:val="22"/>
                <w:szCs w:val="22"/>
              </w:rPr>
            </w:pPr>
            <w:r>
              <w:rPr>
                <w:b/>
                <w:bCs/>
                <w:sz w:val="22"/>
                <w:szCs w:val="22"/>
              </w:rPr>
              <w:t xml:space="preserve">Section 5. </w:t>
            </w:r>
            <w:r w:rsidRPr="00784CD7">
              <w:rPr>
                <w:b/>
                <w:bCs/>
                <w:sz w:val="22"/>
                <w:szCs w:val="22"/>
              </w:rPr>
              <w:t xml:space="preserve">Repealing </w:t>
            </w:r>
            <w:r>
              <w:rPr>
                <w:b/>
                <w:bCs/>
                <w:sz w:val="22"/>
                <w:szCs w:val="22"/>
              </w:rPr>
              <w:t>C</w:t>
            </w:r>
            <w:r w:rsidRPr="002E6501">
              <w:rPr>
                <w:b/>
                <w:bCs/>
                <w:sz w:val="22"/>
                <w:szCs w:val="22"/>
              </w:rPr>
              <w:t>lause</w:t>
            </w:r>
            <w:r>
              <w:rPr>
                <w:b/>
                <w:bCs/>
                <w:sz w:val="22"/>
                <w:szCs w:val="22"/>
              </w:rPr>
              <w:t xml:space="preserve">. </w:t>
            </w:r>
            <w:r w:rsidRPr="001972E4">
              <w:rPr>
                <w:sz w:val="22"/>
                <w:szCs w:val="22"/>
              </w:rPr>
              <w:t>Sections 3.19, 4.2.1, and 4.2.3 of Department Circular No. DC2019-10-0013 and other</w:t>
            </w:r>
            <w:r>
              <w:rPr>
                <w:sz w:val="22"/>
                <w:szCs w:val="22"/>
              </w:rPr>
              <w:t xml:space="preserve"> issuances inconsistent with the provisions of this Circular are hereby repealed, modified or amended accordingly.</w:t>
            </w:r>
          </w:p>
          <w:p w14:paraId="6DDD4B7D" w14:textId="77777777" w:rsidR="00684141" w:rsidRDefault="00684141" w:rsidP="00684141">
            <w:pPr>
              <w:rPr>
                <w:b/>
                <w:bCs/>
                <w:sz w:val="22"/>
                <w:szCs w:val="22"/>
              </w:rPr>
            </w:pPr>
          </w:p>
        </w:tc>
        <w:tc>
          <w:tcPr>
            <w:tcW w:w="5096" w:type="dxa"/>
          </w:tcPr>
          <w:p w14:paraId="5DA5FE5B" w14:textId="77777777" w:rsidR="00684141" w:rsidRPr="00DF2A34" w:rsidRDefault="00684141" w:rsidP="00472CB8">
            <w:pPr>
              <w:pStyle w:val="NoSpacing"/>
              <w:jc w:val="both"/>
              <w:rPr>
                <w:rFonts w:ascii="Arial" w:eastAsia="Times New Roman" w:hAnsi="Arial" w:cs="Arial"/>
                <w:bCs/>
                <w:color w:val="000000" w:themeColor="text1"/>
              </w:rPr>
            </w:pPr>
          </w:p>
        </w:tc>
        <w:tc>
          <w:tcPr>
            <w:tcW w:w="3975" w:type="dxa"/>
          </w:tcPr>
          <w:p w14:paraId="441BE451" w14:textId="77777777" w:rsidR="00684141" w:rsidRPr="00DF2A34" w:rsidRDefault="00684141" w:rsidP="00472CB8">
            <w:pPr>
              <w:pStyle w:val="NoSpacing"/>
              <w:jc w:val="both"/>
              <w:rPr>
                <w:rFonts w:ascii="Arial" w:hAnsi="Arial" w:cs="Arial"/>
              </w:rPr>
            </w:pPr>
          </w:p>
        </w:tc>
      </w:tr>
      <w:tr w:rsidR="00684141" w:rsidRPr="00DF2A34" w14:paraId="062703D1" w14:textId="77777777" w:rsidTr="00B92074">
        <w:trPr>
          <w:trHeight w:val="1548"/>
        </w:trPr>
        <w:tc>
          <w:tcPr>
            <w:tcW w:w="6091" w:type="dxa"/>
          </w:tcPr>
          <w:p w14:paraId="348EB737" w14:textId="77777777" w:rsidR="00B92074" w:rsidRDefault="00B92074" w:rsidP="00B92074">
            <w:pPr>
              <w:rPr>
                <w:sz w:val="22"/>
                <w:szCs w:val="22"/>
              </w:rPr>
            </w:pPr>
            <w:r>
              <w:rPr>
                <w:b/>
                <w:bCs/>
                <w:sz w:val="22"/>
                <w:szCs w:val="22"/>
              </w:rPr>
              <w:t xml:space="preserve">Section 6. Effectivity. </w:t>
            </w:r>
            <w:r>
              <w:rPr>
                <w:sz w:val="22"/>
                <w:szCs w:val="22"/>
              </w:rPr>
              <w:t>This Circular shall take effect fifteen (15) days following its publication in two (2) newspapers of general circulation and filing with the University of the Philippines Law Center – Office of the National Administrative Register.</w:t>
            </w:r>
          </w:p>
          <w:p w14:paraId="3CF34619" w14:textId="77777777" w:rsidR="00684141" w:rsidRDefault="00684141" w:rsidP="00684141">
            <w:pPr>
              <w:rPr>
                <w:b/>
                <w:bCs/>
                <w:sz w:val="22"/>
                <w:szCs w:val="22"/>
              </w:rPr>
            </w:pPr>
          </w:p>
        </w:tc>
        <w:tc>
          <w:tcPr>
            <w:tcW w:w="5096" w:type="dxa"/>
          </w:tcPr>
          <w:p w14:paraId="5BD505CC" w14:textId="77777777" w:rsidR="00684141" w:rsidRPr="00DF2A34" w:rsidRDefault="00684141" w:rsidP="00472CB8">
            <w:pPr>
              <w:pStyle w:val="NoSpacing"/>
              <w:jc w:val="both"/>
              <w:rPr>
                <w:rFonts w:ascii="Arial" w:eastAsia="Times New Roman" w:hAnsi="Arial" w:cs="Arial"/>
                <w:bCs/>
                <w:color w:val="000000" w:themeColor="text1"/>
              </w:rPr>
            </w:pPr>
          </w:p>
        </w:tc>
        <w:tc>
          <w:tcPr>
            <w:tcW w:w="3975" w:type="dxa"/>
          </w:tcPr>
          <w:p w14:paraId="164C3F59" w14:textId="77777777" w:rsidR="00684141" w:rsidRPr="00DF2A34" w:rsidRDefault="00684141" w:rsidP="00472CB8">
            <w:pPr>
              <w:pStyle w:val="NoSpacing"/>
              <w:jc w:val="both"/>
              <w:rPr>
                <w:rFonts w:ascii="Arial" w:hAnsi="Arial" w:cs="Arial"/>
              </w:rPr>
            </w:pPr>
          </w:p>
        </w:tc>
      </w:tr>
    </w:tbl>
    <w:p w14:paraId="2FA68CB8" w14:textId="77777777" w:rsidR="00180D59" w:rsidRPr="00DF2A34" w:rsidRDefault="00180D59" w:rsidP="00472CB8">
      <w:pPr>
        <w:pStyle w:val="NoSpacing"/>
        <w:jc w:val="both"/>
        <w:rPr>
          <w:rFonts w:ascii="Arial" w:hAnsi="Arial" w:cs="Arial"/>
        </w:rPr>
      </w:pPr>
    </w:p>
    <w:sectPr w:rsidR="00180D59" w:rsidRPr="00DF2A34" w:rsidSect="00684141">
      <w:headerReference w:type="even" r:id="rId8"/>
      <w:headerReference w:type="default" r:id="rId9"/>
      <w:footerReference w:type="even" r:id="rId10"/>
      <w:footerReference w:type="default" r:id="rId11"/>
      <w:headerReference w:type="first" r:id="rId12"/>
      <w:footerReference w:type="first" r:id="rId13"/>
      <w:pgSz w:w="16839" w:h="11907" w:orient="landscape" w:code="9"/>
      <w:pgMar w:top="1076" w:right="1440" w:bottom="1106" w:left="1440"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7CA6C" w14:textId="77777777" w:rsidR="00362DD8" w:rsidRDefault="00362DD8" w:rsidP="00F37EFF">
      <w:r>
        <w:separator/>
      </w:r>
    </w:p>
  </w:endnote>
  <w:endnote w:type="continuationSeparator" w:id="0">
    <w:p w14:paraId="6FB34F94" w14:textId="77777777" w:rsidR="00362DD8" w:rsidRDefault="00362DD8" w:rsidP="00F37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DFC6A" w14:textId="77777777" w:rsidR="008977F7" w:rsidRDefault="00897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7650360"/>
      <w:docPartObj>
        <w:docPartGallery w:val="Page Numbers (Bottom of Page)"/>
        <w:docPartUnique/>
      </w:docPartObj>
    </w:sdtPr>
    <w:sdtEndPr/>
    <w:sdtContent>
      <w:sdt>
        <w:sdtPr>
          <w:id w:val="1728636285"/>
          <w:docPartObj>
            <w:docPartGallery w:val="Page Numbers (Top of Page)"/>
            <w:docPartUnique/>
          </w:docPartObj>
        </w:sdtPr>
        <w:sdtEndPr/>
        <w:sdtContent>
          <w:p w14:paraId="7F3E621C" w14:textId="563F1BEC" w:rsidR="00CA0ADD" w:rsidRDefault="00CA0ADD">
            <w:pPr>
              <w:pStyle w:val="Footer"/>
              <w:jc w:val="center"/>
            </w:pPr>
            <w:r w:rsidRPr="00CA0ADD">
              <w:rPr>
                <w:rFonts w:cs="Arial"/>
              </w:rPr>
              <w:t xml:space="preserve">Page </w:t>
            </w:r>
            <w:r w:rsidRPr="00CA0ADD">
              <w:rPr>
                <w:rFonts w:cs="Arial"/>
                <w:b/>
                <w:bCs/>
              </w:rPr>
              <w:fldChar w:fldCharType="begin"/>
            </w:r>
            <w:r w:rsidRPr="00CA0ADD">
              <w:rPr>
                <w:rFonts w:cs="Arial"/>
                <w:b/>
                <w:bCs/>
              </w:rPr>
              <w:instrText xml:space="preserve"> PAGE </w:instrText>
            </w:r>
            <w:r w:rsidRPr="00CA0ADD">
              <w:rPr>
                <w:rFonts w:cs="Arial"/>
                <w:b/>
                <w:bCs/>
              </w:rPr>
              <w:fldChar w:fldCharType="separate"/>
            </w:r>
            <w:r w:rsidRPr="00CA0ADD">
              <w:rPr>
                <w:rFonts w:cs="Arial"/>
                <w:b/>
                <w:bCs/>
                <w:noProof/>
              </w:rPr>
              <w:t>2</w:t>
            </w:r>
            <w:r w:rsidRPr="00CA0ADD">
              <w:rPr>
                <w:rFonts w:cs="Arial"/>
                <w:b/>
                <w:bCs/>
              </w:rPr>
              <w:fldChar w:fldCharType="end"/>
            </w:r>
            <w:r w:rsidRPr="00CA0ADD">
              <w:rPr>
                <w:rFonts w:cs="Arial"/>
              </w:rPr>
              <w:t xml:space="preserve"> of </w:t>
            </w:r>
            <w:r w:rsidRPr="00CA0ADD">
              <w:rPr>
                <w:rFonts w:cs="Arial"/>
                <w:b/>
                <w:bCs/>
              </w:rPr>
              <w:fldChar w:fldCharType="begin"/>
            </w:r>
            <w:r w:rsidRPr="00CA0ADD">
              <w:rPr>
                <w:rFonts w:cs="Arial"/>
                <w:b/>
                <w:bCs/>
              </w:rPr>
              <w:instrText xml:space="preserve"> NUMPAGES  </w:instrText>
            </w:r>
            <w:r w:rsidRPr="00CA0ADD">
              <w:rPr>
                <w:rFonts w:cs="Arial"/>
                <w:b/>
                <w:bCs/>
              </w:rPr>
              <w:fldChar w:fldCharType="separate"/>
            </w:r>
            <w:r w:rsidRPr="00CA0ADD">
              <w:rPr>
                <w:rFonts w:cs="Arial"/>
                <w:b/>
                <w:bCs/>
                <w:noProof/>
              </w:rPr>
              <w:t>2</w:t>
            </w:r>
            <w:r w:rsidRPr="00CA0ADD">
              <w:rPr>
                <w:rFonts w:cs="Arial"/>
                <w:b/>
                <w:bCs/>
              </w:rPr>
              <w:fldChar w:fldCharType="end"/>
            </w:r>
          </w:p>
        </w:sdtContent>
      </w:sdt>
    </w:sdtContent>
  </w:sdt>
  <w:p w14:paraId="082963AD" w14:textId="77777777" w:rsidR="00CA0ADD" w:rsidRDefault="00CA0A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0472634"/>
      <w:docPartObj>
        <w:docPartGallery w:val="Page Numbers (Bottom of Page)"/>
        <w:docPartUnique/>
      </w:docPartObj>
    </w:sdtPr>
    <w:sdtEndPr/>
    <w:sdtContent>
      <w:sdt>
        <w:sdtPr>
          <w:id w:val="-1769616900"/>
          <w:docPartObj>
            <w:docPartGallery w:val="Page Numbers (Top of Page)"/>
            <w:docPartUnique/>
          </w:docPartObj>
        </w:sdtPr>
        <w:sdtEndPr/>
        <w:sdtContent>
          <w:p w14:paraId="770DAACA" w14:textId="72D73235" w:rsidR="00684141" w:rsidRDefault="00684141">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5FDE24E" w14:textId="77777777" w:rsidR="00684141" w:rsidRDefault="006841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4C6AF" w14:textId="77777777" w:rsidR="00362DD8" w:rsidRDefault="00362DD8" w:rsidP="00F37EFF">
      <w:r>
        <w:separator/>
      </w:r>
    </w:p>
  </w:footnote>
  <w:footnote w:type="continuationSeparator" w:id="0">
    <w:p w14:paraId="16DDDF99" w14:textId="77777777" w:rsidR="00362DD8" w:rsidRDefault="00362DD8" w:rsidP="00F37EFF">
      <w:r>
        <w:continuationSeparator/>
      </w:r>
    </w:p>
  </w:footnote>
  <w:footnote w:id="1">
    <w:p w14:paraId="3050DE68" w14:textId="77777777" w:rsidR="00684141" w:rsidRDefault="00684141" w:rsidP="00684141">
      <w:pPr>
        <w:pStyle w:val="FootnoteText"/>
      </w:pPr>
      <w:r w:rsidRPr="00317225">
        <w:rPr>
          <w:rStyle w:val="FootnoteReference"/>
          <w:sz w:val="18"/>
          <w:szCs w:val="18"/>
        </w:rPr>
        <w:footnoteRef/>
      </w:r>
      <w:r w:rsidRPr="00317225">
        <w:rPr>
          <w:sz w:val="18"/>
          <w:szCs w:val="18"/>
        </w:rPr>
        <w:t xml:space="preserve"> </w:t>
      </w:r>
      <w:r>
        <w:rPr>
          <w:sz w:val="18"/>
          <w:szCs w:val="18"/>
        </w:rPr>
        <w:t xml:space="preserve">Addressed to DOE Secretary Raphael P.M. </w:t>
      </w:r>
      <w:proofErr w:type="spellStart"/>
      <w:r>
        <w:rPr>
          <w:sz w:val="18"/>
          <w:szCs w:val="18"/>
        </w:rPr>
        <w:t>Lotilla</w:t>
      </w:r>
      <w:proofErr w:type="spellEnd"/>
      <w:r>
        <w:rPr>
          <w:sz w:val="18"/>
          <w:szCs w:val="18"/>
        </w:rPr>
        <w:t xml:space="preserve">. </w:t>
      </w:r>
    </w:p>
  </w:footnote>
  <w:footnote w:id="2">
    <w:p w14:paraId="297108F6" w14:textId="77777777" w:rsidR="00684141" w:rsidRDefault="00684141" w:rsidP="00684141">
      <w:pPr>
        <w:pStyle w:val="FootnoteText"/>
      </w:pPr>
      <w:r w:rsidRPr="00317225">
        <w:rPr>
          <w:rStyle w:val="FootnoteReference"/>
          <w:sz w:val="18"/>
          <w:szCs w:val="18"/>
        </w:rPr>
        <w:footnoteRef/>
      </w:r>
      <w:r w:rsidRPr="00317225">
        <w:rPr>
          <w:sz w:val="18"/>
          <w:szCs w:val="18"/>
        </w:rPr>
        <w:t xml:space="preserve"> </w:t>
      </w:r>
      <w:r>
        <w:rPr>
          <w:sz w:val="18"/>
          <w:szCs w:val="18"/>
        </w:rPr>
        <w:t>Presidential Decree No. 1067, series of 1976.</w:t>
      </w:r>
    </w:p>
  </w:footnote>
  <w:footnote w:id="3">
    <w:p w14:paraId="70717C49" w14:textId="77777777" w:rsidR="00684141" w:rsidRDefault="00684141" w:rsidP="00684141">
      <w:pPr>
        <w:pStyle w:val="FootnoteText"/>
      </w:pPr>
      <w:r w:rsidRPr="00317225">
        <w:rPr>
          <w:rStyle w:val="FootnoteReference"/>
          <w:sz w:val="18"/>
          <w:szCs w:val="18"/>
        </w:rPr>
        <w:footnoteRef/>
      </w:r>
      <w:r w:rsidRPr="00317225">
        <w:rPr>
          <w:sz w:val="18"/>
          <w:szCs w:val="18"/>
        </w:rPr>
        <w:t xml:space="preserve"> </w:t>
      </w:r>
      <w:r>
        <w:rPr>
          <w:sz w:val="18"/>
          <w:szCs w:val="18"/>
        </w:rPr>
        <w:t>G.R. No. 192088, 09 October 2012.</w:t>
      </w:r>
    </w:p>
  </w:footnote>
  <w:footnote w:id="4">
    <w:p w14:paraId="208F2236" w14:textId="77777777" w:rsidR="00684141" w:rsidRDefault="00684141" w:rsidP="00684141">
      <w:pPr>
        <w:pStyle w:val="FootnoteText"/>
        <w:jc w:val="left"/>
      </w:pPr>
      <w:r w:rsidRPr="001972E4">
        <w:rPr>
          <w:rStyle w:val="FootnoteReference"/>
          <w:sz w:val="18"/>
          <w:szCs w:val="18"/>
        </w:rPr>
        <w:footnoteRef/>
      </w:r>
      <w:r w:rsidRPr="001972E4">
        <w:rPr>
          <w:sz w:val="18"/>
          <w:szCs w:val="18"/>
        </w:rPr>
        <w:t xml:space="preserve"> </w:t>
      </w:r>
      <w:r w:rsidRPr="001972E4">
        <w:rPr>
          <w:sz w:val="18"/>
          <w:szCs w:val="18"/>
          <w:lang w:val="en-US"/>
        </w:rPr>
        <w:t xml:space="preserve">National Renewable Energy Program 2020-2040: </w:t>
      </w:r>
      <w:hyperlink r:id="rId1" w:history="1">
        <w:r w:rsidRPr="001972E4">
          <w:rPr>
            <w:rStyle w:val="Hyperlink"/>
            <w:sz w:val="18"/>
            <w:szCs w:val="18"/>
          </w:rPr>
          <w:t>https://www.doe.gov.ph/sites/default/files/pdf/announcements/nrep-2020-2040_0.pdf</w:t>
        </w:r>
      </w:hyperlink>
    </w:p>
  </w:footnote>
  <w:footnote w:id="5">
    <w:p w14:paraId="445A29B8" w14:textId="77777777" w:rsidR="00B92074" w:rsidRPr="00EA4AF3" w:rsidRDefault="00B92074" w:rsidP="00B92074">
      <w:pPr>
        <w:pStyle w:val="FootnoteText"/>
        <w:rPr>
          <w:lang w:val="en-US"/>
        </w:rPr>
      </w:pPr>
      <w:r w:rsidRPr="00EA4AF3">
        <w:rPr>
          <w:rStyle w:val="FootnoteReference"/>
          <w:sz w:val="18"/>
          <w:szCs w:val="18"/>
        </w:rPr>
        <w:footnoteRef/>
      </w:r>
      <w:r w:rsidRPr="00EA4AF3">
        <w:rPr>
          <w:sz w:val="18"/>
          <w:szCs w:val="18"/>
        </w:rPr>
        <w:t xml:space="preserve"> </w:t>
      </w:r>
      <w:r w:rsidRPr="00EA4AF3">
        <w:rPr>
          <w:i/>
          <w:iCs/>
          <w:sz w:val="18"/>
          <w:szCs w:val="18"/>
        </w:rPr>
        <w:t>Supra</w:t>
      </w:r>
      <w:r w:rsidRPr="00EA4AF3">
        <w:rPr>
          <w:sz w:val="18"/>
          <w:szCs w:val="18"/>
        </w:rPr>
        <w:t xml:space="preserve"> at Notes 2 and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77785" w14:textId="77777777" w:rsidR="008977F7" w:rsidRDefault="008977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D17F7" w14:textId="77777777" w:rsidR="008977F7" w:rsidRDefault="008977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7904E" w14:textId="77777777" w:rsidR="00684141" w:rsidRDefault="00684141" w:rsidP="00684141">
    <w:pPr>
      <w:pStyle w:val="Header"/>
      <w:ind w:left="-567"/>
      <w:jc w:val="left"/>
      <w:rPr>
        <w:rFonts w:cs="Arial"/>
        <w:b/>
        <w:bCs/>
      </w:rPr>
    </w:pPr>
    <w:r>
      <w:rPr>
        <w:rFonts w:cs="Arial"/>
        <w:b/>
        <w:bCs/>
      </w:rPr>
      <w:t>Prescribed Template</w:t>
    </w:r>
  </w:p>
  <w:p w14:paraId="7407A1AD" w14:textId="77777777" w:rsidR="00684141" w:rsidRDefault="00684141" w:rsidP="00684141">
    <w:pPr>
      <w:pStyle w:val="Header"/>
      <w:jc w:val="center"/>
      <w:rPr>
        <w:rFonts w:cs="Arial"/>
        <w:b/>
        <w:bCs/>
      </w:rPr>
    </w:pPr>
  </w:p>
  <w:p w14:paraId="63D26388" w14:textId="30E56285" w:rsidR="00684141" w:rsidRDefault="00684141" w:rsidP="00684141">
    <w:pPr>
      <w:pStyle w:val="Header"/>
      <w:jc w:val="center"/>
      <w:rPr>
        <w:rFonts w:cs="Arial"/>
        <w:b/>
        <w:bCs/>
      </w:rPr>
    </w:pPr>
    <w:r>
      <w:rPr>
        <w:rFonts w:cs="Arial"/>
        <w:b/>
        <w:bCs/>
      </w:rPr>
      <w:t>&lt;</w:t>
    </w:r>
    <w:r w:rsidRPr="00684141">
      <w:rPr>
        <w:rFonts w:cs="Arial"/>
        <w:b/>
        <w:bCs/>
        <w:color w:val="FF0000"/>
      </w:rPr>
      <w:t>NAME OF STAKEHOLDER</w:t>
    </w:r>
    <w:r>
      <w:rPr>
        <w:rFonts w:cs="Arial"/>
        <w:b/>
        <w:bCs/>
      </w:rPr>
      <w:t>&gt; C</w:t>
    </w:r>
    <w:r w:rsidRPr="00684141">
      <w:rPr>
        <w:rFonts w:cs="Arial"/>
        <w:b/>
        <w:bCs/>
      </w:rPr>
      <w:t xml:space="preserve">omments on the Draft Department Circular Prescribing Amendments to Section 19 </w:t>
    </w:r>
    <w:r w:rsidR="008977F7">
      <w:rPr>
        <w:rFonts w:cs="Arial"/>
        <w:b/>
        <w:bCs/>
      </w:rPr>
      <w:t xml:space="preserve">of Department Circular No. DC2009-05-0008 Entitled, Rules and Regulations Implementing Republic Act No. 9513, Otherwise Known as “The Renewable Energy Act of </w:t>
    </w:r>
    <w:r w:rsidR="008977F7">
      <w:rPr>
        <w:rFonts w:cs="Arial"/>
        <w:b/>
        <w:bCs/>
      </w:rPr>
      <w:t>2008”</w:t>
    </w:r>
  </w:p>
  <w:p w14:paraId="34C338A3" w14:textId="77777777" w:rsidR="00684141" w:rsidRDefault="006841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440C"/>
    <w:multiLevelType w:val="hybridMultilevel"/>
    <w:tmpl w:val="FFF627C6"/>
    <w:lvl w:ilvl="0" w:tplc="1F8C9844">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 w15:restartNumberingAfterBreak="0">
    <w:nsid w:val="0ACF537A"/>
    <w:multiLevelType w:val="hybridMultilevel"/>
    <w:tmpl w:val="79369334"/>
    <w:lvl w:ilvl="0" w:tplc="A66AA084">
      <w:start w:val="1"/>
      <w:numFmt w:val="decimal"/>
      <w:lvlText w:val="%1."/>
      <w:lvlJc w:val="left"/>
      <w:pPr>
        <w:ind w:left="1211" w:hanging="360"/>
      </w:pPr>
      <w:rPr>
        <w:rFonts w:hint="default"/>
        <w:sz w:val="22"/>
        <w:u w:val="none"/>
      </w:rPr>
    </w:lvl>
    <w:lvl w:ilvl="1" w:tplc="34090019" w:tentative="1">
      <w:start w:val="1"/>
      <w:numFmt w:val="lowerLetter"/>
      <w:lvlText w:val="%2."/>
      <w:lvlJc w:val="left"/>
      <w:pPr>
        <w:ind w:left="1931" w:hanging="360"/>
      </w:pPr>
    </w:lvl>
    <w:lvl w:ilvl="2" w:tplc="3409001B" w:tentative="1">
      <w:start w:val="1"/>
      <w:numFmt w:val="lowerRoman"/>
      <w:lvlText w:val="%3."/>
      <w:lvlJc w:val="right"/>
      <w:pPr>
        <w:ind w:left="2651" w:hanging="180"/>
      </w:pPr>
    </w:lvl>
    <w:lvl w:ilvl="3" w:tplc="3409000F" w:tentative="1">
      <w:start w:val="1"/>
      <w:numFmt w:val="decimal"/>
      <w:lvlText w:val="%4."/>
      <w:lvlJc w:val="left"/>
      <w:pPr>
        <w:ind w:left="3371" w:hanging="360"/>
      </w:pPr>
    </w:lvl>
    <w:lvl w:ilvl="4" w:tplc="34090019" w:tentative="1">
      <w:start w:val="1"/>
      <w:numFmt w:val="lowerLetter"/>
      <w:lvlText w:val="%5."/>
      <w:lvlJc w:val="left"/>
      <w:pPr>
        <w:ind w:left="4091" w:hanging="360"/>
      </w:pPr>
    </w:lvl>
    <w:lvl w:ilvl="5" w:tplc="3409001B" w:tentative="1">
      <w:start w:val="1"/>
      <w:numFmt w:val="lowerRoman"/>
      <w:lvlText w:val="%6."/>
      <w:lvlJc w:val="right"/>
      <w:pPr>
        <w:ind w:left="4811" w:hanging="180"/>
      </w:pPr>
    </w:lvl>
    <w:lvl w:ilvl="6" w:tplc="3409000F" w:tentative="1">
      <w:start w:val="1"/>
      <w:numFmt w:val="decimal"/>
      <w:lvlText w:val="%7."/>
      <w:lvlJc w:val="left"/>
      <w:pPr>
        <w:ind w:left="5531" w:hanging="360"/>
      </w:pPr>
    </w:lvl>
    <w:lvl w:ilvl="7" w:tplc="34090019" w:tentative="1">
      <w:start w:val="1"/>
      <w:numFmt w:val="lowerLetter"/>
      <w:lvlText w:val="%8."/>
      <w:lvlJc w:val="left"/>
      <w:pPr>
        <w:ind w:left="6251" w:hanging="360"/>
      </w:pPr>
    </w:lvl>
    <w:lvl w:ilvl="8" w:tplc="3409001B" w:tentative="1">
      <w:start w:val="1"/>
      <w:numFmt w:val="lowerRoman"/>
      <w:lvlText w:val="%9."/>
      <w:lvlJc w:val="right"/>
      <w:pPr>
        <w:ind w:left="6971" w:hanging="180"/>
      </w:pPr>
    </w:lvl>
  </w:abstractNum>
  <w:abstractNum w:abstractNumId="2" w15:restartNumberingAfterBreak="0">
    <w:nsid w:val="12754942"/>
    <w:multiLevelType w:val="hybridMultilevel"/>
    <w:tmpl w:val="A79A30FA"/>
    <w:lvl w:ilvl="0" w:tplc="3A16AF60">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 w15:restartNumberingAfterBreak="0">
    <w:nsid w:val="1AB83A4B"/>
    <w:multiLevelType w:val="hybridMultilevel"/>
    <w:tmpl w:val="1236EC3C"/>
    <w:lvl w:ilvl="0" w:tplc="C7B045E0">
      <w:start w:val="1"/>
      <w:numFmt w:val="decimal"/>
      <w:lvlText w:val="(%1)"/>
      <w:lvlJc w:val="left"/>
      <w:pPr>
        <w:ind w:left="1080" w:hanging="360"/>
      </w:pPr>
    </w:lvl>
    <w:lvl w:ilvl="1" w:tplc="34090019">
      <w:start w:val="1"/>
      <w:numFmt w:val="lowerLetter"/>
      <w:lvlText w:val="%2."/>
      <w:lvlJc w:val="left"/>
      <w:pPr>
        <w:ind w:left="1800" w:hanging="360"/>
      </w:pPr>
    </w:lvl>
    <w:lvl w:ilvl="2" w:tplc="3409001B">
      <w:start w:val="1"/>
      <w:numFmt w:val="lowerRoman"/>
      <w:lvlText w:val="%3."/>
      <w:lvlJc w:val="right"/>
      <w:pPr>
        <w:ind w:left="2520" w:hanging="180"/>
      </w:pPr>
    </w:lvl>
    <w:lvl w:ilvl="3" w:tplc="3409000F">
      <w:start w:val="1"/>
      <w:numFmt w:val="decimal"/>
      <w:lvlText w:val="%4."/>
      <w:lvlJc w:val="left"/>
      <w:pPr>
        <w:ind w:left="3240" w:hanging="360"/>
      </w:pPr>
    </w:lvl>
    <w:lvl w:ilvl="4" w:tplc="34090019">
      <w:start w:val="1"/>
      <w:numFmt w:val="lowerLetter"/>
      <w:lvlText w:val="%5."/>
      <w:lvlJc w:val="left"/>
      <w:pPr>
        <w:ind w:left="3960" w:hanging="360"/>
      </w:pPr>
    </w:lvl>
    <w:lvl w:ilvl="5" w:tplc="3409001B">
      <w:start w:val="1"/>
      <w:numFmt w:val="lowerRoman"/>
      <w:lvlText w:val="%6."/>
      <w:lvlJc w:val="right"/>
      <w:pPr>
        <w:ind w:left="4680" w:hanging="180"/>
      </w:pPr>
    </w:lvl>
    <w:lvl w:ilvl="6" w:tplc="3409000F">
      <w:start w:val="1"/>
      <w:numFmt w:val="decimal"/>
      <w:lvlText w:val="%7."/>
      <w:lvlJc w:val="left"/>
      <w:pPr>
        <w:ind w:left="5400" w:hanging="360"/>
      </w:pPr>
    </w:lvl>
    <w:lvl w:ilvl="7" w:tplc="34090019">
      <w:start w:val="1"/>
      <w:numFmt w:val="lowerLetter"/>
      <w:lvlText w:val="%8."/>
      <w:lvlJc w:val="left"/>
      <w:pPr>
        <w:ind w:left="6120" w:hanging="360"/>
      </w:pPr>
    </w:lvl>
    <w:lvl w:ilvl="8" w:tplc="3409001B">
      <w:start w:val="1"/>
      <w:numFmt w:val="lowerRoman"/>
      <w:lvlText w:val="%9."/>
      <w:lvlJc w:val="right"/>
      <w:pPr>
        <w:ind w:left="6840" w:hanging="180"/>
      </w:pPr>
    </w:lvl>
  </w:abstractNum>
  <w:abstractNum w:abstractNumId="4" w15:restartNumberingAfterBreak="0">
    <w:nsid w:val="21C65A51"/>
    <w:multiLevelType w:val="hybridMultilevel"/>
    <w:tmpl w:val="FD8211B8"/>
    <w:lvl w:ilvl="0" w:tplc="AC560BEE">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 w15:restartNumberingAfterBreak="0">
    <w:nsid w:val="253221D8"/>
    <w:multiLevelType w:val="hybridMultilevel"/>
    <w:tmpl w:val="D166C596"/>
    <w:lvl w:ilvl="0" w:tplc="F13648C2">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6" w15:restartNumberingAfterBreak="0">
    <w:nsid w:val="28237F4F"/>
    <w:multiLevelType w:val="hybridMultilevel"/>
    <w:tmpl w:val="B1C20066"/>
    <w:lvl w:ilvl="0" w:tplc="76FC423E">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7" w15:restartNumberingAfterBreak="0">
    <w:nsid w:val="2A01264B"/>
    <w:multiLevelType w:val="hybridMultilevel"/>
    <w:tmpl w:val="9464539E"/>
    <w:lvl w:ilvl="0" w:tplc="49BC040C">
      <w:start w:val="1"/>
      <w:numFmt w:val="lowerLetter"/>
      <w:lvlText w:val="(%1)"/>
      <w:lvlJc w:val="left"/>
      <w:pPr>
        <w:ind w:left="1080" w:hanging="360"/>
      </w:pPr>
      <w:rPr>
        <w:rFonts w:hint="default"/>
        <w:color w:val="000000"/>
        <w:sz w:val="20"/>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8" w15:restartNumberingAfterBreak="0">
    <w:nsid w:val="2B4706C7"/>
    <w:multiLevelType w:val="hybridMultilevel"/>
    <w:tmpl w:val="0810D1CC"/>
    <w:lvl w:ilvl="0" w:tplc="75781466">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9" w15:restartNumberingAfterBreak="0">
    <w:nsid w:val="41175DA3"/>
    <w:multiLevelType w:val="hybridMultilevel"/>
    <w:tmpl w:val="435445D8"/>
    <w:lvl w:ilvl="0" w:tplc="2158A082">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0" w15:restartNumberingAfterBreak="0">
    <w:nsid w:val="42E45D9D"/>
    <w:multiLevelType w:val="hybridMultilevel"/>
    <w:tmpl w:val="7A3E0090"/>
    <w:lvl w:ilvl="0" w:tplc="A1D03602">
      <w:start w:val="1"/>
      <w:numFmt w:val="lowerLetter"/>
      <w:lvlText w:val="(%1)"/>
      <w:lvlJc w:val="left"/>
      <w:pPr>
        <w:ind w:left="1080" w:hanging="360"/>
      </w:pPr>
      <w:rPr>
        <w:rFonts w:hint="default"/>
        <w:color w:val="000000"/>
        <w:w w:val="104"/>
        <w:sz w:val="20"/>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1" w15:restartNumberingAfterBreak="0">
    <w:nsid w:val="45D830DB"/>
    <w:multiLevelType w:val="hybridMultilevel"/>
    <w:tmpl w:val="217ABC9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15:restartNumberingAfterBreak="0">
    <w:nsid w:val="48995422"/>
    <w:multiLevelType w:val="hybridMultilevel"/>
    <w:tmpl w:val="F918C836"/>
    <w:lvl w:ilvl="0" w:tplc="20248DEC">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4AFB515C"/>
    <w:multiLevelType w:val="hybridMultilevel"/>
    <w:tmpl w:val="157690E4"/>
    <w:lvl w:ilvl="0" w:tplc="AEE4F2D2">
      <w:start w:val="1"/>
      <w:numFmt w:val="lowerLetter"/>
      <w:lvlText w:val="(%1)"/>
      <w:lvlJc w:val="left"/>
      <w:pPr>
        <w:ind w:left="1080" w:hanging="360"/>
      </w:pPr>
      <w:rPr>
        <w:rFonts w:hint="default"/>
        <w:color w:val="000000"/>
        <w:sz w:val="20"/>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4" w15:restartNumberingAfterBreak="0">
    <w:nsid w:val="4D0E621C"/>
    <w:multiLevelType w:val="hybridMultilevel"/>
    <w:tmpl w:val="1DB050CC"/>
    <w:lvl w:ilvl="0" w:tplc="F0C8C814">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5" w15:restartNumberingAfterBreak="0">
    <w:nsid w:val="4F827E03"/>
    <w:multiLevelType w:val="hybridMultilevel"/>
    <w:tmpl w:val="C5968C3C"/>
    <w:lvl w:ilvl="0" w:tplc="7D606922">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6" w15:restartNumberingAfterBreak="0">
    <w:nsid w:val="51863EBF"/>
    <w:multiLevelType w:val="hybridMultilevel"/>
    <w:tmpl w:val="4EB4C29E"/>
    <w:lvl w:ilvl="0" w:tplc="9AF6391C">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7" w15:restartNumberingAfterBreak="0">
    <w:nsid w:val="5D553DE2"/>
    <w:multiLevelType w:val="hybridMultilevel"/>
    <w:tmpl w:val="7C8A4416"/>
    <w:lvl w:ilvl="0" w:tplc="908000AE">
      <w:start w:val="1"/>
      <w:numFmt w:val="lowerLetter"/>
      <w:lvlText w:val="(%1)"/>
      <w:lvlJc w:val="left"/>
      <w:pPr>
        <w:ind w:left="752"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15:restartNumberingAfterBreak="0">
    <w:nsid w:val="61B76B72"/>
    <w:multiLevelType w:val="hybridMultilevel"/>
    <w:tmpl w:val="A8985590"/>
    <w:lvl w:ilvl="0" w:tplc="DFE01194">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9" w15:restartNumberingAfterBreak="0">
    <w:nsid w:val="68182F9F"/>
    <w:multiLevelType w:val="hybridMultilevel"/>
    <w:tmpl w:val="E0746860"/>
    <w:lvl w:ilvl="0" w:tplc="E7E2596C">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0" w15:restartNumberingAfterBreak="0">
    <w:nsid w:val="681C4E92"/>
    <w:multiLevelType w:val="hybridMultilevel"/>
    <w:tmpl w:val="D572FBC8"/>
    <w:lvl w:ilvl="0" w:tplc="230E4502">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1" w15:restartNumberingAfterBreak="0">
    <w:nsid w:val="684B4514"/>
    <w:multiLevelType w:val="hybridMultilevel"/>
    <w:tmpl w:val="A6EAFACE"/>
    <w:lvl w:ilvl="0" w:tplc="07048340">
      <w:start w:val="1"/>
      <w:numFmt w:val="lowerLetter"/>
      <w:lvlText w:val="(%1)"/>
      <w:lvlJc w:val="left"/>
      <w:pPr>
        <w:ind w:left="1440" w:hanging="72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2" w15:restartNumberingAfterBreak="0">
    <w:nsid w:val="72D234E9"/>
    <w:multiLevelType w:val="hybridMultilevel"/>
    <w:tmpl w:val="7C8A4416"/>
    <w:lvl w:ilvl="0" w:tplc="908000AE">
      <w:start w:val="1"/>
      <w:numFmt w:val="lowerLetter"/>
      <w:lvlText w:val="(%1)"/>
      <w:lvlJc w:val="left"/>
      <w:pPr>
        <w:ind w:left="752"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3" w15:restartNumberingAfterBreak="0">
    <w:nsid w:val="74A65EE9"/>
    <w:multiLevelType w:val="hybridMultilevel"/>
    <w:tmpl w:val="F1226468"/>
    <w:lvl w:ilvl="0" w:tplc="AE0A4346">
      <w:start w:val="2"/>
      <w:numFmt w:val="upperLetter"/>
      <w:lvlText w:val="%1."/>
      <w:lvlJc w:val="left"/>
      <w:pPr>
        <w:ind w:left="1211" w:hanging="360"/>
      </w:pPr>
      <w:rPr>
        <w:rFonts w:hint="default"/>
        <w:strike w:val="0"/>
        <w:sz w:val="22"/>
        <w:szCs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4" w15:restartNumberingAfterBreak="0">
    <w:nsid w:val="79086E31"/>
    <w:multiLevelType w:val="hybridMultilevel"/>
    <w:tmpl w:val="35462D88"/>
    <w:lvl w:ilvl="0" w:tplc="34C2803E">
      <w:start w:val="1"/>
      <w:numFmt w:val="upperLetter"/>
      <w:lvlText w:val="%1."/>
      <w:lvlJc w:val="left"/>
      <w:pPr>
        <w:ind w:left="1080" w:hanging="360"/>
      </w:pPr>
      <w:rPr>
        <w:strike w:val="0"/>
        <w:sz w:val="22"/>
        <w:szCs w:val="22"/>
      </w:rPr>
    </w:lvl>
    <w:lvl w:ilvl="1" w:tplc="34090019">
      <w:start w:val="1"/>
      <w:numFmt w:val="lowerLetter"/>
      <w:lvlText w:val="%2."/>
      <w:lvlJc w:val="left"/>
      <w:pPr>
        <w:ind w:left="1800" w:hanging="360"/>
      </w:pPr>
    </w:lvl>
    <w:lvl w:ilvl="2" w:tplc="3409001B">
      <w:start w:val="1"/>
      <w:numFmt w:val="lowerRoman"/>
      <w:lvlText w:val="%3."/>
      <w:lvlJc w:val="right"/>
      <w:pPr>
        <w:ind w:left="2520" w:hanging="180"/>
      </w:pPr>
    </w:lvl>
    <w:lvl w:ilvl="3" w:tplc="3409000F">
      <w:start w:val="1"/>
      <w:numFmt w:val="decimal"/>
      <w:lvlText w:val="%4."/>
      <w:lvlJc w:val="left"/>
      <w:pPr>
        <w:ind w:left="3240" w:hanging="360"/>
      </w:pPr>
    </w:lvl>
    <w:lvl w:ilvl="4" w:tplc="34090019">
      <w:start w:val="1"/>
      <w:numFmt w:val="lowerLetter"/>
      <w:lvlText w:val="%5."/>
      <w:lvlJc w:val="left"/>
      <w:pPr>
        <w:ind w:left="3960" w:hanging="360"/>
      </w:pPr>
    </w:lvl>
    <w:lvl w:ilvl="5" w:tplc="3409001B">
      <w:start w:val="1"/>
      <w:numFmt w:val="lowerRoman"/>
      <w:lvlText w:val="%6."/>
      <w:lvlJc w:val="right"/>
      <w:pPr>
        <w:ind w:left="4680" w:hanging="180"/>
      </w:pPr>
    </w:lvl>
    <w:lvl w:ilvl="6" w:tplc="3409000F">
      <w:start w:val="1"/>
      <w:numFmt w:val="decimal"/>
      <w:lvlText w:val="%7."/>
      <w:lvlJc w:val="left"/>
      <w:pPr>
        <w:ind w:left="5400" w:hanging="360"/>
      </w:pPr>
    </w:lvl>
    <w:lvl w:ilvl="7" w:tplc="34090019">
      <w:start w:val="1"/>
      <w:numFmt w:val="lowerLetter"/>
      <w:lvlText w:val="%8."/>
      <w:lvlJc w:val="left"/>
      <w:pPr>
        <w:ind w:left="6120" w:hanging="360"/>
      </w:pPr>
    </w:lvl>
    <w:lvl w:ilvl="8" w:tplc="3409001B">
      <w:start w:val="1"/>
      <w:numFmt w:val="lowerRoman"/>
      <w:lvlText w:val="%9."/>
      <w:lvlJc w:val="right"/>
      <w:pPr>
        <w:ind w:left="6840" w:hanging="180"/>
      </w:pPr>
    </w:lvl>
  </w:abstractNum>
  <w:abstractNum w:abstractNumId="25" w15:restartNumberingAfterBreak="0">
    <w:nsid w:val="79A635E4"/>
    <w:multiLevelType w:val="hybridMultilevel"/>
    <w:tmpl w:val="2C901DEC"/>
    <w:lvl w:ilvl="0" w:tplc="1F94DB9A">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6" w15:restartNumberingAfterBreak="0">
    <w:nsid w:val="7CB9067F"/>
    <w:multiLevelType w:val="hybridMultilevel"/>
    <w:tmpl w:val="2D4636F6"/>
    <w:lvl w:ilvl="0" w:tplc="3434FD62">
      <w:start w:val="1"/>
      <w:numFmt w:val="lowerLetter"/>
      <w:lvlText w:val="(%1)"/>
      <w:lvlJc w:val="left"/>
      <w:pPr>
        <w:ind w:left="1440" w:hanging="72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7" w15:restartNumberingAfterBreak="0">
    <w:nsid w:val="7D795A65"/>
    <w:multiLevelType w:val="hybridMultilevel"/>
    <w:tmpl w:val="4E2C784A"/>
    <w:lvl w:ilvl="0" w:tplc="543017E6">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8" w15:restartNumberingAfterBreak="0">
    <w:nsid w:val="7EE725E4"/>
    <w:multiLevelType w:val="hybridMultilevel"/>
    <w:tmpl w:val="7C8A4416"/>
    <w:lvl w:ilvl="0" w:tplc="908000AE">
      <w:start w:val="1"/>
      <w:numFmt w:val="lowerLetter"/>
      <w:lvlText w:val="(%1)"/>
      <w:lvlJc w:val="left"/>
      <w:pPr>
        <w:ind w:left="752"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1782413874">
    <w:abstractNumId w:val="11"/>
  </w:num>
  <w:num w:numId="2" w16cid:durableId="1270968959">
    <w:abstractNumId w:val="25"/>
  </w:num>
  <w:num w:numId="3" w16cid:durableId="609974235">
    <w:abstractNumId w:val="12"/>
  </w:num>
  <w:num w:numId="4" w16cid:durableId="65078877">
    <w:abstractNumId w:val="22"/>
  </w:num>
  <w:num w:numId="5" w16cid:durableId="1469321502">
    <w:abstractNumId w:val="17"/>
  </w:num>
  <w:num w:numId="6" w16cid:durableId="277175914">
    <w:abstractNumId w:val="28"/>
  </w:num>
  <w:num w:numId="7" w16cid:durableId="1904438888">
    <w:abstractNumId w:val="20"/>
  </w:num>
  <w:num w:numId="8" w16cid:durableId="564755191">
    <w:abstractNumId w:val="9"/>
  </w:num>
  <w:num w:numId="9" w16cid:durableId="125129524">
    <w:abstractNumId w:val="4"/>
  </w:num>
  <w:num w:numId="10" w16cid:durableId="1556816804">
    <w:abstractNumId w:val="8"/>
  </w:num>
  <w:num w:numId="11" w16cid:durableId="1041173604">
    <w:abstractNumId w:val="5"/>
  </w:num>
  <w:num w:numId="12" w16cid:durableId="1000619178">
    <w:abstractNumId w:val="18"/>
  </w:num>
  <w:num w:numId="13" w16cid:durableId="2078890664">
    <w:abstractNumId w:val="13"/>
  </w:num>
  <w:num w:numId="14" w16cid:durableId="747117805">
    <w:abstractNumId w:val="27"/>
  </w:num>
  <w:num w:numId="15" w16cid:durableId="1841768944">
    <w:abstractNumId w:val="16"/>
  </w:num>
  <w:num w:numId="16" w16cid:durableId="1186096536">
    <w:abstractNumId w:val="21"/>
  </w:num>
  <w:num w:numId="17" w16cid:durableId="1537111318">
    <w:abstractNumId w:val="26"/>
  </w:num>
  <w:num w:numId="18" w16cid:durableId="609625425">
    <w:abstractNumId w:val="7"/>
  </w:num>
  <w:num w:numId="19" w16cid:durableId="1141267127">
    <w:abstractNumId w:val="10"/>
  </w:num>
  <w:num w:numId="20" w16cid:durableId="1098138883">
    <w:abstractNumId w:val="14"/>
  </w:num>
  <w:num w:numId="21" w16cid:durableId="572349748">
    <w:abstractNumId w:val="19"/>
  </w:num>
  <w:num w:numId="22" w16cid:durableId="1476339183">
    <w:abstractNumId w:val="15"/>
  </w:num>
  <w:num w:numId="23" w16cid:durableId="1701934639">
    <w:abstractNumId w:val="0"/>
  </w:num>
  <w:num w:numId="24" w16cid:durableId="1417826383">
    <w:abstractNumId w:val="6"/>
  </w:num>
  <w:num w:numId="25" w16cid:durableId="71634134">
    <w:abstractNumId w:val="2"/>
  </w:num>
  <w:num w:numId="26" w16cid:durableId="313993773">
    <w:abstractNumId w:val="24"/>
  </w:num>
  <w:num w:numId="27" w16cid:durableId="962616455">
    <w:abstractNumId w:val="1"/>
  </w:num>
  <w:num w:numId="28" w16cid:durableId="1305625064">
    <w:abstractNumId w:val="23"/>
  </w:num>
  <w:num w:numId="29" w16cid:durableId="4888345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18C"/>
    <w:rsid w:val="0009666C"/>
    <w:rsid w:val="000A5498"/>
    <w:rsid w:val="000C3B33"/>
    <w:rsid w:val="0011017F"/>
    <w:rsid w:val="00151BB9"/>
    <w:rsid w:val="00180D59"/>
    <w:rsid w:val="002614A2"/>
    <w:rsid w:val="002737D2"/>
    <w:rsid w:val="002A4E4B"/>
    <w:rsid w:val="002A5B97"/>
    <w:rsid w:val="00311D28"/>
    <w:rsid w:val="00347443"/>
    <w:rsid w:val="0035297C"/>
    <w:rsid w:val="00362DD8"/>
    <w:rsid w:val="00365980"/>
    <w:rsid w:val="00370EF2"/>
    <w:rsid w:val="003802D6"/>
    <w:rsid w:val="003E30D2"/>
    <w:rsid w:val="004054DE"/>
    <w:rsid w:val="00421BDA"/>
    <w:rsid w:val="00421E1D"/>
    <w:rsid w:val="00467549"/>
    <w:rsid w:val="00472BEA"/>
    <w:rsid w:val="00472CB8"/>
    <w:rsid w:val="004C4061"/>
    <w:rsid w:val="004E00DE"/>
    <w:rsid w:val="0051464C"/>
    <w:rsid w:val="00551D9D"/>
    <w:rsid w:val="00576C03"/>
    <w:rsid w:val="00593B5C"/>
    <w:rsid w:val="005F6852"/>
    <w:rsid w:val="00642CAB"/>
    <w:rsid w:val="00681ED5"/>
    <w:rsid w:val="00684141"/>
    <w:rsid w:val="006F2B52"/>
    <w:rsid w:val="00711948"/>
    <w:rsid w:val="007217C3"/>
    <w:rsid w:val="00724903"/>
    <w:rsid w:val="007512E8"/>
    <w:rsid w:val="007514D8"/>
    <w:rsid w:val="00776810"/>
    <w:rsid w:val="0083418C"/>
    <w:rsid w:val="00860FDB"/>
    <w:rsid w:val="008865F3"/>
    <w:rsid w:val="008907B9"/>
    <w:rsid w:val="008977F7"/>
    <w:rsid w:val="008C0BEC"/>
    <w:rsid w:val="008D7D35"/>
    <w:rsid w:val="008F2BFB"/>
    <w:rsid w:val="0091491D"/>
    <w:rsid w:val="00922F70"/>
    <w:rsid w:val="009268E1"/>
    <w:rsid w:val="00973D6A"/>
    <w:rsid w:val="009C5837"/>
    <w:rsid w:val="009F78EB"/>
    <w:rsid w:val="00A81308"/>
    <w:rsid w:val="00AA06DC"/>
    <w:rsid w:val="00AC69A1"/>
    <w:rsid w:val="00AC6BD4"/>
    <w:rsid w:val="00AD5DC3"/>
    <w:rsid w:val="00B63B81"/>
    <w:rsid w:val="00B65258"/>
    <w:rsid w:val="00B92074"/>
    <w:rsid w:val="00BA21AA"/>
    <w:rsid w:val="00BA3021"/>
    <w:rsid w:val="00BB40CF"/>
    <w:rsid w:val="00BB6ABD"/>
    <w:rsid w:val="00BE5ED4"/>
    <w:rsid w:val="00C57FA5"/>
    <w:rsid w:val="00C87BE2"/>
    <w:rsid w:val="00CA0341"/>
    <w:rsid w:val="00CA0ADD"/>
    <w:rsid w:val="00D63EFE"/>
    <w:rsid w:val="00D84445"/>
    <w:rsid w:val="00D92A5F"/>
    <w:rsid w:val="00DA1DF1"/>
    <w:rsid w:val="00DF2A34"/>
    <w:rsid w:val="00E204E0"/>
    <w:rsid w:val="00E2182E"/>
    <w:rsid w:val="00E21D19"/>
    <w:rsid w:val="00E30CEF"/>
    <w:rsid w:val="00E37B3A"/>
    <w:rsid w:val="00E41F86"/>
    <w:rsid w:val="00E44966"/>
    <w:rsid w:val="00E62725"/>
    <w:rsid w:val="00E9795F"/>
    <w:rsid w:val="00EA16B6"/>
    <w:rsid w:val="00EB67DE"/>
    <w:rsid w:val="00EB768B"/>
    <w:rsid w:val="00ED327E"/>
    <w:rsid w:val="00F1017D"/>
    <w:rsid w:val="00F301A5"/>
    <w:rsid w:val="00F37EFF"/>
    <w:rsid w:val="00F65FD4"/>
    <w:rsid w:val="00F77700"/>
    <w:rsid w:val="00FE6E9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6711"/>
  <w15:docId w15:val="{9B736EDB-E5A7-410D-BAF6-A692C5DB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141"/>
    <w:pPr>
      <w:spacing w:after="0" w:line="240" w:lineRule="auto"/>
      <w:jc w:val="both"/>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4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7EFF"/>
    <w:pPr>
      <w:tabs>
        <w:tab w:val="center" w:pos="4680"/>
        <w:tab w:val="right" w:pos="9360"/>
      </w:tabs>
    </w:pPr>
  </w:style>
  <w:style w:type="character" w:customStyle="1" w:styleId="HeaderChar">
    <w:name w:val="Header Char"/>
    <w:basedOn w:val="DefaultParagraphFont"/>
    <w:link w:val="Header"/>
    <w:uiPriority w:val="99"/>
    <w:rsid w:val="00F37EFF"/>
  </w:style>
  <w:style w:type="paragraph" w:styleId="Footer">
    <w:name w:val="footer"/>
    <w:basedOn w:val="Normal"/>
    <w:link w:val="FooterChar"/>
    <w:uiPriority w:val="99"/>
    <w:unhideWhenUsed/>
    <w:rsid w:val="00F37EFF"/>
    <w:pPr>
      <w:tabs>
        <w:tab w:val="center" w:pos="4680"/>
        <w:tab w:val="right" w:pos="9360"/>
      </w:tabs>
    </w:pPr>
  </w:style>
  <w:style w:type="character" w:customStyle="1" w:styleId="FooterChar">
    <w:name w:val="Footer Char"/>
    <w:basedOn w:val="DefaultParagraphFont"/>
    <w:link w:val="Footer"/>
    <w:uiPriority w:val="99"/>
    <w:rsid w:val="00F37EFF"/>
  </w:style>
  <w:style w:type="paragraph" w:styleId="NormalWeb">
    <w:name w:val="Normal (Web)"/>
    <w:basedOn w:val="Normal"/>
    <w:uiPriority w:val="99"/>
    <w:unhideWhenUsed/>
    <w:rsid w:val="00860FDB"/>
    <w:pPr>
      <w:spacing w:before="100" w:beforeAutospacing="1" w:after="100" w:afterAutospacing="1"/>
    </w:pPr>
    <w:rPr>
      <w:rFonts w:ascii="Times New Roman" w:eastAsia="Times New Roman" w:hAnsi="Times New Roman" w:cs="Times New Roman"/>
      <w:lang w:eastAsia="en-PH"/>
    </w:rPr>
  </w:style>
  <w:style w:type="paragraph" w:styleId="ListParagraph">
    <w:name w:val="List Paragraph"/>
    <w:basedOn w:val="Normal"/>
    <w:uiPriority w:val="34"/>
    <w:qFormat/>
    <w:rsid w:val="00AD5DC3"/>
    <w:pPr>
      <w:ind w:left="720"/>
      <w:contextualSpacing/>
    </w:pPr>
  </w:style>
  <w:style w:type="paragraph" w:styleId="Title">
    <w:name w:val="Title"/>
    <w:basedOn w:val="Normal"/>
    <w:next w:val="Normal"/>
    <w:link w:val="TitleChar"/>
    <w:uiPriority w:val="10"/>
    <w:qFormat/>
    <w:rsid w:val="00B65258"/>
    <w:pPr>
      <w:spacing w:before="240" w:after="60"/>
      <w:jc w:val="center"/>
      <w:outlineLvl w:val="0"/>
    </w:pPr>
    <w:rPr>
      <w:rFonts w:ascii="Calibri Light" w:eastAsia="Times New Roman" w:hAnsi="Calibri Light" w:cs="Times New Roman"/>
      <w:b/>
      <w:bCs/>
      <w:kern w:val="28"/>
      <w:sz w:val="32"/>
      <w:szCs w:val="32"/>
      <w:lang w:val="en-US" w:eastAsia="ko-KR"/>
    </w:rPr>
  </w:style>
  <w:style w:type="character" w:customStyle="1" w:styleId="TitleChar">
    <w:name w:val="Title Char"/>
    <w:basedOn w:val="DefaultParagraphFont"/>
    <w:link w:val="Title"/>
    <w:uiPriority w:val="10"/>
    <w:rsid w:val="00B65258"/>
    <w:rPr>
      <w:rFonts w:ascii="Calibri Light" w:eastAsia="Times New Roman" w:hAnsi="Calibri Light" w:cs="Times New Roman"/>
      <w:b/>
      <w:bCs/>
      <w:kern w:val="28"/>
      <w:sz w:val="32"/>
      <w:szCs w:val="32"/>
      <w:lang w:val="en-US" w:eastAsia="ko-KR"/>
    </w:rPr>
  </w:style>
  <w:style w:type="paragraph" w:styleId="NoSpacing">
    <w:name w:val="No Spacing"/>
    <w:uiPriority w:val="1"/>
    <w:qFormat/>
    <w:rsid w:val="00B65258"/>
    <w:pPr>
      <w:spacing w:after="0" w:line="240" w:lineRule="auto"/>
    </w:pPr>
  </w:style>
  <w:style w:type="paragraph" w:styleId="FootnoteText">
    <w:name w:val="footnote text"/>
    <w:basedOn w:val="Normal"/>
    <w:link w:val="FootnoteTextChar"/>
    <w:uiPriority w:val="99"/>
    <w:semiHidden/>
    <w:unhideWhenUsed/>
    <w:rsid w:val="00684141"/>
    <w:rPr>
      <w:sz w:val="20"/>
      <w:szCs w:val="20"/>
    </w:rPr>
  </w:style>
  <w:style w:type="character" w:customStyle="1" w:styleId="FootnoteTextChar">
    <w:name w:val="Footnote Text Char"/>
    <w:basedOn w:val="DefaultParagraphFont"/>
    <w:link w:val="FootnoteText"/>
    <w:uiPriority w:val="99"/>
    <w:semiHidden/>
    <w:rsid w:val="00684141"/>
    <w:rPr>
      <w:rFonts w:ascii="Arial" w:hAnsi="Arial"/>
      <w:sz w:val="20"/>
      <w:szCs w:val="20"/>
    </w:rPr>
  </w:style>
  <w:style w:type="character" w:styleId="FootnoteReference">
    <w:name w:val="footnote reference"/>
    <w:basedOn w:val="DefaultParagraphFont"/>
    <w:uiPriority w:val="99"/>
    <w:semiHidden/>
    <w:unhideWhenUsed/>
    <w:rsid w:val="00684141"/>
    <w:rPr>
      <w:vertAlign w:val="superscript"/>
    </w:rPr>
  </w:style>
  <w:style w:type="character" w:styleId="Hyperlink">
    <w:name w:val="Hyperlink"/>
    <w:basedOn w:val="DefaultParagraphFont"/>
    <w:uiPriority w:val="99"/>
    <w:unhideWhenUsed/>
    <w:rsid w:val="006841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doe.gov.ph/sites/default/files/pdf/announcements/nrep-2020-2040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0CD14-8E5D-4689-9A67-DB822D0A2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1187</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Antonio S. Barcelona</dc:creator>
  <cp:lastModifiedBy>Gayle Bitarra</cp:lastModifiedBy>
  <cp:revision>2</cp:revision>
  <dcterms:created xsi:type="dcterms:W3CDTF">2022-10-12T07:43:00Z</dcterms:created>
  <dcterms:modified xsi:type="dcterms:W3CDTF">2022-10-12T07:43:00Z</dcterms:modified>
</cp:coreProperties>
</file>