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0C" w:rsidRPr="00E535EA" w:rsidRDefault="001A54EC" w:rsidP="00BF2925">
      <w:pPr>
        <w:jc w:val="center"/>
        <w:rPr>
          <w:rFonts w:ascii="Arial" w:hAnsi="Arial" w:cs="Arial"/>
          <w:b/>
          <w:sz w:val="28"/>
        </w:rPr>
      </w:pPr>
      <w:r>
        <w:rPr>
          <w:rFonts w:ascii="Arial" w:hAnsi="Arial" w:cs="Arial"/>
          <w:b/>
          <w:sz w:val="28"/>
        </w:rPr>
        <w:t>GENERAL MECHANICS</w:t>
      </w:r>
    </w:p>
    <w:p w:rsidR="00455BB1" w:rsidRPr="007F322F" w:rsidRDefault="00AA10E6" w:rsidP="007F322F">
      <w:pPr>
        <w:jc w:val="center"/>
        <w:rPr>
          <w:rFonts w:ascii="Arial" w:hAnsi="Arial" w:cs="Arial"/>
          <w:b/>
        </w:rPr>
      </w:pPr>
      <w:r w:rsidRPr="00AA10E6">
        <w:rPr>
          <w:rFonts w:ascii="Arial" w:hAnsi="Arial" w:cs="Arial"/>
          <w:b/>
        </w:rPr>
        <w:t xml:space="preserve">ENERGY EFFICIENCY </w:t>
      </w:r>
      <w:r w:rsidR="00CA5110">
        <w:rPr>
          <w:rFonts w:ascii="Arial" w:hAnsi="Arial" w:cs="Arial"/>
          <w:b/>
        </w:rPr>
        <w:t xml:space="preserve">EXCELLENCE </w:t>
      </w:r>
      <w:r w:rsidRPr="00AA10E6">
        <w:rPr>
          <w:rFonts w:ascii="Arial" w:hAnsi="Arial" w:cs="Arial"/>
          <w:b/>
        </w:rPr>
        <w:t>(EE</w:t>
      </w:r>
      <w:r w:rsidR="00CA5110">
        <w:rPr>
          <w:rFonts w:ascii="Arial" w:hAnsi="Arial" w:cs="Arial"/>
          <w:b/>
        </w:rPr>
        <w:t>E</w:t>
      </w:r>
      <w:r w:rsidRPr="00AA10E6">
        <w:rPr>
          <w:rFonts w:ascii="Arial" w:hAnsi="Arial" w:cs="Arial"/>
          <w:b/>
        </w:rPr>
        <w:t>) AWARDS FOR THE GOVERNMENT ENTITIES</w:t>
      </w:r>
    </w:p>
    <w:p w:rsidR="00455BB1" w:rsidRPr="007F322F" w:rsidRDefault="00455BB1" w:rsidP="007F322F">
      <w:pPr>
        <w:pStyle w:val="ListParagraph"/>
        <w:numPr>
          <w:ilvl w:val="0"/>
          <w:numId w:val="29"/>
        </w:numPr>
        <w:rPr>
          <w:rFonts w:ascii="Arial" w:hAnsi="Arial" w:cs="Arial"/>
          <w:b/>
        </w:rPr>
      </w:pPr>
      <w:r w:rsidRPr="007F322F">
        <w:rPr>
          <w:rFonts w:ascii="Arial" w:hAnsi="Arial" w:cs="Arial"/>
          <w:b/>
        </w:rPr>
        <w:t>CALL FOR APPLICATIONS</w:t>
      </w:r>
    </w:p>
    <w:p w:rsidR="00455BB1" w:rsidRPr="00AA10E6" w:rsidRDefault="004F7B10" w:rsidP="004F7B10">
      <w:pPr>
        <w:spacing w:after="0" w:line="240" w:lineRule="auto"/>
        <w:ind w:left="1080" w:hanging="360"/>
        <w:jc w:val="both"/>
        <w:rPr>
          <w:rFonts w:ascii="Arial" w:eastAsia="Times New Roman" w:hAnsi="Arial" w:cs="Arial"/>
          <w:color w:val="000000"/>
        </w:rPr>
      </w:pPr>
      <w:proofErr w:type="gramStart"/>
      <w:r w:rsidRPr="00AA10E6">
        <w:rPr>
          <w:rFonts w:ascii="Arial" w:eastAsia="Times New Roman" w:hAnsi="Arial" w:cs="Arial"/>
          <w:color w:val="000000"/>
        </w:rPr>
        <w:t>a.1</w:t>
      </w:r>
      <w:proofErr w:type="gramEnd"/>
      <w:r w:rsidRPr="00AA10E6">
        <w:rPr>
          <w:rFonts w:ascii="Arial" w:eastAsia="Times New Roman" w:hAnsi="Arial" w:cs="Arial"/>
          <w:color w:val="000000"/>
        </w:rPr>
        <w:t xml:space="preserve"> </w:t>
      </w:r>
      <w:r w:rsidR="00455BB1" w:rsidRPr="00AA10E6">
        <w:rPr>
          <w:rFonts w:ascii="Arial" w:eastAsia="Times New Roman" w:hAnsi="Arial" w:cs="Arial"/>
          <w:color w:val="000000"/>
        </w:rPr>
        <w:t xml:space="preserve">An advisory to GEs will be issued calling for application for Energy Efficiency (EE) Awards for the current year. GEs will be provided a self-assessment tool which will serve as </w:t>
      </w:r>
      <w:r w:rsidR="00BB4905" w:rsidRPr="00AA10E6">
        <w:rPr>
          <w:rFonts w:ascii="Arial" w:eastAsia="Times New Roman" w:hAnsi="Arial" w:cs="Arial"/>
          <w:color w:val="000000"/>
        </w:rPr>
        <w:t xml:space="preserve">their basis whether they are qualified </w:t>
      </w:r>
      <w:r w:rsidR="000B0019" w:rsidRPr="00AA10E6">
        <w:rPr>
          <w:rFonts w:ascii="Arial" w:eastAsia="Times New Roman" w:hAnsi="Arial" w:cs="Arial"/>
          <w:color w:val="000000"/>
        </w:rPr>
        <w:t xml:space="preserve">to apply </w:t>
      </w:r>
      <w:r w:rsidR="00BB4905" w:rsidRPr="00AA10E6">
        <w:rPr>
          <w:rFonts w:ascii="Arial" w:eastAsia="Times New Roman" w:hAnsi="Arial" w:cs="Arial"/>
          <w:color w:val="000000"/>
        </w:rPr>
        <w:t>or not under the four (4) categories for awards to be given to Government Entities (i.e., National Government Agencies; Government-Owned or Controlled Corporations, Local Government Units, and State Colleges and Universities)</w:t>
      </w:r>
    </w:p>
    <w:p w:rsidR="00BB4905" w:rsidRPr="00AA10E6" w:rsidRDefault="00BB4905" w:rsidP="003971E1">
      <w:pPr>
        <w:pStyle w:val="ListParagraph"/>
        <w:spacing w:after="0" w:line="240" w:lineRule="auto"/>
        <w:jc w:val="both"/>
        <w:rPr>
          <w:rFonts w:ascii="Arial" w:eastAsia="Times New Roman" w:hAnsi="Arial" w:cs="Arial"/>
          <w:color w:val="000000"/>
        </w:rPr>
      </w:pPr>
    </w:p>
    <w:p w:rsidR="001B43C1" w:rsidRPr="00680226" w:rsidRDefault="00680226" w:rsidP="00E91D19">
      <w:pPr>
        <w:tabs>
          <w:tab w:val="left" w:pos="810"/>
        </w:tabs>
        <w:spacing w:after="0" w:line="240" w:lineRule="auto"/>
        <w:ind w:left="1080" w:hanging="450"/>
        <w:jc w:val="both"/>
        <w:rPr>
          <w:rFonts w:ascii="Arial" w:eastAsia="Times New Roman" w:hAnsi="Arial" w:cs="Arial"/>
          <w:color w:val="000000"/>
        </w:rPr>
      </w:pPr>
      <w:proofErr w:type="gramStart"/>
      <w:r>
        <w:rPr>
          <w:rFonts w:ascii="Arial" w:eastAsia="Times New Roman" w:hAnsi="Arial" w:cs="Arial"/>
          <w:color w:val="000000"/>
        </w:rPr>
        <w:t>a.2</w:t>
      </w:r>
      <w:proofErr w:type="gramEnd"/>
      <w:r>
        <w:rPr>
          <w:rFonts w:ascii="Arial" w:eastAsia="Times New Roman" w:hAnsi="Arial" w:cs="Arial"/>
          <w:color w:val="000000"/>
        </w:rPr>
        <w:t xml:space="preserve"> The announcement wi</w:t>
      </w:r>
      <w:r w:rsidR="00E91D19">
        <w:rPr>
          <w:rFonts w:ascii="Arial" w:eastAsia="Times New Roman" w:hAnsi="Arial" w:cs="Arial"/>
          <w:color w:val="000000"/>
        </w:rPr>
        <w:t>ll be posted in the DOE website and other concerned GE</w:t>
      </w:r>
      <w:r w:rsidR="00E979C8">
        <w:rPr>
          <w:rFonts w:ascii="Arial" w:eastAsia="Times New Roman" w:hAnsi="Arial" w:cs="Arial"/>
          <w:color w:val="000000"/>
        </w:rPr>
        <w:t xml:space="preserve"> </w:t>
      </w:r>
      <w:r w:rsidR="00E91D19">
        <w:rPr>
          <w:rFonts w:ascii="Arial" w:eastAsia="Times New Roman" w:hAnsi="Arial" w:cs="Arial"/>
          <w:color w:val="000000"/>
        </w:rPr>
        <w:t>websites.</w:t>
      </w:r>
    </w:p>
    <w:p w:rsidR="003971E1" w:rsidRPr="00AA10E6" w:rsidRDefault="003971E1" w:rsidP="003971E1">
      <w:pPr>
        <w:spacing w:after="0" w:line="240" w:lineRule="auto"/>
        <w:rPr>
          <w:rFonts w:ascii="Arial" w:eastAsia="Times New Roman" w:hAnsi="Arial" w:cs="Arial"/>
          <w:color w:val="000000"/>
        </w:rPr>
      </w:pPr>
    </w:p>
    <w:p w:rsidR="003971E1" w:rsidRPr="007F322F" w:rsidRDefault="001B43C1" w:rsidP="007F322F">
      <w:pPr>
        <w:pStyle w:val="ListParagraph"/>
        <w:numPr>
          <w:ilvl w:val="0"/>
          <w:numId w:val="29"/>
        </w:numPr>
        <w:spacing w:after="0" w:line="240" w:lineRule="auto"/>
        <w:rPr>
          <w:rFonts w:ascii="Arial" w:eastAsia="Times New Roman" w:hAnsi="Arial" w:cs="Arial"/>
          <w:b/>
          <w:color w:val="000000"/>
        </w:rPr>
      </w:pPr>
      <w:r w:rsidRPr="007F322F">
        <w:rPr>
          <w:rFonts w:ascii="Arial" w:eastAsia="Times New Roman" w:hAnsi="Arial" w:cs="Arial"/>
          <w:b/>
          <w:color w:val="000000"/>
        </w:rPr>
        <w:t xml:space="preserve"> </w:t>
      </w:r>
      <w:r w:rsidR="003971E1" w:rsidRPr="007F322F">
        <w:rPr>
          <w:rFonts w:ascii="Arial" w:eastAsia="Times New Roman" w:hAnsi="Arial" w:cs="Arial"/>
          <w:b/>
          <w:color w:val="000000"/>
        </w:rPr>
        <w:t>SUBMISSION OF APPLICATIONS</w:t>
      </w:r>
    </w:p>
    <w:p w:rsidR="00BB4905" w:rsidRPr="00AA10E6" w:rsidRDefault="00BB4905" w:rsidP="00BB4905">
      <w:pPr>
        <w:pStyle w:val="ListParagraph"/>
        <w:spacing w:after="0" w:line="240" w:lineRule="auto"/>
        <w:rPr>
          <w:rFonts w:ascii="Arial" w:eastAsia="Times New Roman" w:hAnsi="Arial" w:cs="Arial"/>
          <w:color w:val="000000"/>
        </w:rPr>
      </w:pPr>
    </w:p>
    <w:p w:rsidR="00455BB1" w:rsidRPr="00AA10E6" w:rsidRDefault="001B43C1" w:rsidP="004F7B10">
      <w:pPr>
        <w:spacing w:after="0" w:line="240" w:lineRule="auto"/>
        <w:ind w:left="990" w:hanging="270"/>
        <w:jc w:val="both"/>
        <w:rPr>
          <w:rFonts w:ascii="Arial" w:eastAsia="Times New Roman" w:hAnsi="Arial" w:cs="Arial"/>
          <w:color w:val="000000"/>
        </w:rPr>
      </w:pPr>
      <w:proofErr w:type="gramStart"/>
      <w:r w:rsidRPr="00AA10E6">
        <w:rPr>
          <w:rFonts w:ascii="Arial" w:eastAsia="Times New Roman" w:hAnsi="Arial" w:cs="Arial"/>
          <w:color w:val="000000"/>
        </w:rPr>
        <w:t>b.1</w:t>
      </w:r>
      <w:proofErr w:type="gramEnd"/>
      <w:r w:rsidRPr="00AA10E6">
        <w:rPr>
          <w:rFonts w:ascii="Arial" w:eastAsia="Times New Roman" w:hAnsi="Arial" w:cs="Arial"/>
          <w:color w:val="000000"/>
        </w:rPr>
        <w:t xml:space="preserve"> Applications should be submitted within the given deadline. Applications submitted beyond the deadline will no longer be accommodated.</w:t>
      </w:r>
    </w:p>
    <w:p w:rsidR="00AA10E6" w:rsidRPr="00AA10E6" w:rsidRDefault="00AA10E6" w:rsidP="00AA10E6">
      <w:pPr>
        <w:spacing w:after="0" w:line="240" w:lineRule="auto"/>
        <w:jc w:val="both"/>
        <w:rPr>
          <w:rFonts w:ascii="Arial" w:eastAsia="Times New Roman" w:hAnsi="Arial" w:cs="Arial"/>
          <w:color w:val="000000"/>
        </w:rPr>
      </w:pPr>
    </w:p>
    <w:p w:rsidR="004F7B10" w:rsidRPr="00AA10E6" w:rsidRDefault="004F7B10" w:rsidP="004F7B10">
      <w:pPr>
        <w:spacing w:after="0" w:line="240" w:lineRule="auto"/>
        <w:ind w:left="1080" w:hanging="360"/>
        <w:jc w:val="both"/>
        <w:rPr>
          <w:rFonts w:ascii="Arial" w:eastAsia="Times New Roman" w:hAnsi="Arial" w:cs="Arial"/>
          <w:color w:val="000000"/>
        </w:rPr>
      </w:pPr>
      <w:r w:rsidRPr="00AA10E6">
        <w:rPr>
          <w:rFonts w:ascii="Arial" w:eastAsia="Times New Roman" w:hAnsi="Arial" w:cs="Arial"/>
          <w:color w:val="000000"/>
        </w:rPr>
        <w:t xml:space="preserve">b.2 </w:t>
      </w:r>
      <w:r w:rsidRPr="00455BB1">
        <w:rPr>
          <w:rFonts w:ascii="Arial" w:eastAsia="Times New Roman" w:hAnsi="Arial" w:cs="Arial"/>
          <w:color w:val="000000"/>
        </w:rPr>
        <w:t xml:space="preserve">If the </w:t>
      </w:r>
      <w:r w:rsidR="00AF58E9">
        <w:rPr>
          <w:rFonts w:ascii="Arial" w:eastAsia="Times New Roman" w:hAnsi="Arial" w:cs="Arial"/>
          <w:color w:val="000000"/>
        </w:rPr>
        <w:t>number of applicants received is</w:t>
      </w:r>
      <w:r w:rsidRPr="00455BB1">
        <w:rPr>
          <w:rFonts w:ascii="Arial" w:eastAsia="Times New Roman" w:hAnsi="Arial" w:cs="Arial"/>
          <w:color w:val="000000"/>
        </w:rPr>
        <w:t xml:space="preserve"> less than three (3) per GE category, EPSMD will conduct a short-listing of three (3) potential awardees</w:t>
      </w:r>
      <w:r w:rsidR="00045580">
        <w:rPr>
          <w:rFonts w:ascii="Arial" w:eastAsia="Times New Roman" w:hAnsi="Arial" w:cs="Arial"/>
          <w:color w:val="000000"/>
        </w:rPr>
        <w:t xml:space="preserve"> per category</w:t>
      </w:r>
      <w:r w:rsidRPr="00455BB1">
        <w:rPr>
          <w:rFonts w:ascii="Arial" w:eastAsia="Times New Roman" w:hAnsi="Arial" w:cs="Arial"/>
          <w:color w:val="000000"/>
        </w:rPr>
        <w:t xml:space="preserve"> based on the </w:t>
      </w:r>
      <w:r w:rsidR="00045580">
        <w:rPr>
          <w:rFonts w:ascii="Arial" w:eastAsia="Times New Roman" w:hAnsi="Arial" w:cs="Arial"/>
          <w:color w:val="000000"/>
        </w:rPr>
        <w:t xml:space="preserve">existing </w:t>
      </w:r>
      <w:r w:rsidRPr="00455BB1">
        <w:rPr>
          <w:rFonts w:ascii="Arial" w:eastAsia="Times New Roman" w:hAnsi="Arial" w:cs="Arial"/>
          <w:color w:val="000000"/>
        </w:rPr>
        <w:t>energy audit report and rating for the past 2 years</w:t>
      </w:r>
      <w:r w:rsidRPr="00AA10E6">
        <w:rPr>
          <w:rFonts w:ascii="Arial" w:eastAsia="Times New Roman" w:hAnsi="Arial" w:cs="Arial"/>
          <w:color w:val="000000"/>
        </w:rPr>
        <w:t xml:space="preserve"> to come up with at least four (4) for potential awardees for evaluation.</w:t>
      </w:r>
    </w:p>
    <w:p w:rsidR="001B43C1" w:rsidRPr="00AA10E6" w:rsidRDefault="001B43C1" w:rsidP="004F7B10">
      <w:pPr>
        <w:spacing w:after="0" w:line="240" w:lineRule="auto"/>
        <w:jc w:val="both"/>
        <w:rPr>
          <w:rFonts w:ascii="Arial" w:eastAsia="Times New Roman" w:hAnsi="Arial" w:cs="Arial"/>
          <w:color w:val="000000"/>
        </w:rPr>
      </w:pPr>
    </w:p>
    <w:p w:rsidR="001B43C1" w:rsidRPr="00AA10E6" w:rsidRDefault="001B43C1" w:rsidP="001B43C1">
      <w:pPr>
        <w:spacing w:after="0" w:line="240" w:lineRule="auto"/>
        <w:ind w:left="1080" w:hanging="360"/>
        <w:jc w:val="both"/>
        <w:rPr>
          <w:rFonts w:ascii="Arial" w:eastAsia="Times New Roman" w:hAnsi="Arial" w:cs="Arial"/>
          <w:color w:val="000000"/>
        </w:rPr>
      </w:pPr>
      <w:proofErr w:type="gramStart"/>
      <w:r w:rsidRPr="00AA10E6">
        <w:rPr>
          <w:rFonts w:ascii="Arial" w:eastAsia="Times New Roman" w:hAnsi="Arial" w:cs="Arial"/>
          <w:color w:val="000000"/>
        </w:rPr>
        <w:t>b.</w:t>
      </w:r>
      <w:r w:rsidR="004F7B10" w:rsidRPr="00AA10E6">
        <w:rPr>
          <w:rFonts w:ascii="Arial" w:eastAsia="Times New Roman" w:hAnsi="Arial" w:cs="Arial"/>
          <w:color w:val="000000"/>
        </w:rPr>
        <w:t>3</w:t>
      </w:r>
      <w:proofErr w:type="gramEnd"/>
      <w:r w:rsidRPr="00AA10E6">
        <w:rPr>
          <w:rFonts w:ascii="Arial" w:eastAsia="Times New Roman" w:hAnsi="Arial" w:cs="Arial"/>
          <w:color w:val="000000"/>
        </w:rPr>
        <w:t xml:space="preserve"> </w:t>
      </w:r>
      <w:r w:rsidRPr="00455BB1">
        <w:rPr>
          <w:rFonts w:ascii="Arial" w:eastAsia="Times New Roman" w:hAnsi="Arial" w:cs="Arial"/>
          <w:color w:val="000000"/>
        </w:rPr>
        <w:t>When the deadline has lapsed and no appl</w:t>
      </w:r>
      <w:r w:rsidR="00AA10E6">
        <w:rPr>
          <w:rFonts w:ascii="Arial" w:eastAsia="Times New Roman" w:hAnsi="Arial" w:cs="Arial"/>
          <w:color w:val="000000"/>
        </w:rPr>
        <w:t xml:space="preserve">ication received from GEs, </w:t>
      </w:r>
      <w:r w:rsidRPr="00455BB1">
        <w:rPr>
          <w:rFonts w:ascii="Arial" w:eastAsia="Times New Roman" w:hAnsi="Arial" w:cs="Arial"/>
          <w:color w:val="000000"/>
        </w:rPr>
        <w:t xml:space="preserve">EPSMD will conduct a short-listing of six (6) potential awardees per GE category, based on the </w:t>
      </w:r>
      <w:r w:rsidR="00045580">
        <w:rPr>
          <w:rFonts w:ascii="Arial" w:eastAsia="Times New Roman" w:hAnsi="Arial" w:cs="Arial"/>
          <w:color w:val="000000"/>
        </w:rPr>
        <w:t xml:space="preserve">existing </w:t>
      </w:r>
      <w:r w:rsidRPr="00455BB1">
        <w:rPr>
          <w:rFonts w:ascii="Arial" w:eastAsia="Times New Roman" w:hAnsi="Arial" w:cs="Arial"/>
          <w:color w:val="000000"/>
        </w:rPr>
        <w:t>energy audit report and rating of the GEs for the past 2 years.</w:t>
      </w:r>
    </w:p>
    <w:p w:rsidR="001B43C1" w:rsidRDefault="001B43C1" w:rsidP="001B43C1">
      <w:pPr>
        <w:spacing w:after="0" w:line="240" w:lineRule="auto"/>
        <w:jc w:val="both"/>
        <w:rPr>
          <w:rFonts w:ascii="Arial" w:eastAsia="Times New Roman" w:hAnsi="Arial" w:cs="Arial"/>
          <w:color w:val="000000"/>
        </w:rPr>
      </w:pPr>
    </w:p>
    <w:p w:rsidR="00AA10E6" w:rsidRDefault="00AA10E6" w:rsidP="00AA10E6">
      <w:pPr>
        <w:spacing w:after="0" w:line="240" w:lineRule="auto"/>
        <w:ind w:left="1080" w:hanging="360"/>
        <w:jc w:val="both"/>
        <w:rPr>
          <w:rFonts w:ascii="Arial" w:eastAsia="Times New Roman" w:hAnsi="Arial" w:cs="Arial"/>
          <w:color w:val="000000"/>
        </w:rPr>
      </w:pPr>
      <w:proofErr w:type="gramStart"/>
      <w:r>
        <w:rPr>
          <w:rFonts w:ascii="Arial" w:eastAsia="Times New Roman" w:hAnsi="Arial" w:cs="Arial"/>
          <w:color w:val="000000"/>
        </w:rPr>
        <w:t>b.4</w:t>
      </w:r>
      <w:proofErr w:type="gramEnd"/>
      <w:r>
        <w:rPr>
          <w:rFonts w:ascii="Arial" w:eastAsia="Times New Roman" w:hAnsi="Arial" w:cs="Arial"/>
          <w:color w:val="000000"/>
        </w:rPr>
        <w:t xml:space="preserve"> A </w:t>
      </w:r>
      <w:r w:rsidR="00D60CAA">
        <w:rPr>
          <w:rFonts w:ascii="Arial" w:eastAsia="Times New Roman" w:hAnsi="Arial" w:cs="Arial"/>
          <w:color w:val="000000"/>
        </w:rPr>
        <w:t>“Nomination Letter” will be issued by the EPSMD to the</w:t>
      </w:r>
      <w:r w:rsidRPr="00455BB1">
        <w:rPr>
          <w:rFonts w:ascii="Arial" w:eastAsia="Times New Roman" w:hAnsi="Arial" w:cs="Arial"/>
          <w:color w:val="000000"/>
        </w:rPr>
        <w:t xml:space="preserve"> short-listed GE</w:t>
      </w:r>
      <w:r w:rsidR="009D57DE">
        <w:rPr>
          <w:rFonts w:ascii="Arial" w:eastAsia="Times New Roman" w:hAnsi="Arial" w:cs="Arial"/>
          <w:color w:val="000000"/>
        </w:rPr>
        <w:t>s</w:t>
      </w:r>
      <w:r w:rsidRPr="00455BB1">
        <w:rPr>
          <w:rFonts w:ascii="Arial" w:eastAsia="Times New Roman" w:hAnsi="Arial" w:cs="Arial"/>
          <w:color w:val="000000"/>
        </w:rPr>
        <w:t xml:space="preserve"> </w:t>
      </w:r>
      <w:r w:rsidR="00E535EA">
        <w:rPr>
          <w:rFonts w:ascii="Arial" w:eastAsia="Times New Roman" w:hAnsi="Arial" w:cs="Arial"/>
          <w:color w:val="000000"/>
        </w:rPr>
        <w:t>requesting them</w:t>
      </w:r>
      <w:r w:rsidR="00D60CAA">
        <w:rPr>
          <w:rFonts w:ascii="Arial" w:eastAsia="Times New Roman" w:hAnsi="Arial" w:cs="Arial"/>
          <w:color w:val="000000"/>
        </w:rPr>
        <w:t xml:space="preserve"> to submit an application for the EE</w:t>
      </w:r>
      <w:r w:rsidR="00DC17A7">
        <w:rPr>
          <w:rFonts w:ascii="Arial" w:eastAsia="Times New Roman" w:hAnsi="Arial" w:cs="Arial"/>
          <w:color w:val="000000"/>
        </w:rPr>
        <w:t>E</w:t>
      </w:r>
      <w:r w:rsidR="00D60CAA">
        <w:rPr>
          <w:rFonts w:ascii="Arial" w:eastAsia="Times New Roman" w:hAnsi="Arial" w:cs="Arial"/>
          <w:color w:val="000000"/>
        </w:rPr>
        <w:t xml:space="preserve"> Awards.</w:t>
      </w:r>
    </w:p>
    <w:p w:rsidR="00D60CAA" w:rsidRDefault="00D60CAA" w:rsidP="00AA10E6">
      <w:pPr>
        <w:spacing w:after="0" w:line="240" w:lineRule="auto"/>
        <w:ind w:left="1080" w:hanging="360"/>
        <w:jc w:val="both"/>
        <w:rPr>
          <w:rFonts w:ascii="Arial" w:eastAsia="Times New Roman" w:hAnsi="Arial" w:cs="Arial"/>
          <w:color w:val="000000"/>
        </w:rPr>
      </w:pPr>
    </w:p>
    <w:p w:rsidR="00D60CAA" w:rsidRDefault="00D60CAA" w:rsidP="00AA10E6">
      <w:pPr>
        <w:spacing w:after="0" w:line="240" w:lineRule="auto"/>
        <w:ind w:left="1080" w:hanging="360"/>
        <w:jc w:val="both"/>
        <w:rPr>
          <w:rFonts w:ascii="Arial" w:eastAsia="Times New Roman" w:hAnsi="Arial" w:cs="Arial"/>
          <w:color w:val="000000"/>
        </w:rPr>
      </w:pPr>
      <w:proofErr w:type="gramStart"/>
      <w:r>
        <w:rPr>
          <w:rFonts w:ascii="Arial" w:eastAsia="Times New Roman" w:hAnsi="Arial" w:cs="Arial"/>
          <w:color w:val="000000"/>
        </w:rPr>
        <w:t>b.5</w:t>
      </w:r>
      <w:proofErr w:type="gramEnd"/>
      <w:r>
        <w:rPr>
          <w:rFonts w:ascii="Arial" w:eastAsia="Times New Roman" w:hAnsi="Arial" w:cs="Arial"/>
          <w:color w:val="000000"/>
        </w:rPr>
        <w:t xml:space="preserve"> The GE Nominee who failed to submit an application letter within the given deadline will no longer be accommodated.</w:t>
      </w:r>
    </w:p>
    <w:p w:rsidR="00517B95" w:rsidRDefault="00517B95" w:rsidP="00517B95">
      <w:pPr>
        <w:spacing w:after="0" w:line="240" w:lineRule="auto"/>
        <w:jc w:val="both"/>
        <w:rPr>
          <w:rFonts w:ascii="Arial" w:eastAsia="Times New Roman" w:hAnsi="Arial" w:cs="Arial"/>
          <w:color w:val="000000"/>
        </w:rPr>
      </w:pPr>
    </w:p>
    <w:p w:rsidR="00D565E3" w:rsidRDefault="00D565E3" w:rsidP="00D565E3">
      <w:pPr>
        <w:spacing w:after="0" w:line="240" w:lineRule="auto"/>
        <w:jc w:val="both"/>
        <w:rPr>
          <w:rFonts w:ascii="Arial" w:eastAsia="Times New Roman" w:hAnsi="Arial" w:cs="Arial"/>
          <w:color w:val="000000"/>
        </w:rPr>
      </w:pPr>
    </w:p>
    <w:p w:rsidR="00D565E3" w:rsidRPr="007F322F" w:rsidRDefault="00D565E3" w:rsidP="007F322F">
      <w:pPr>
        <w:pStyle w:val="ListParagraph"/>
        <w:numPr>
          <w:ilvl w:val="0"/>
          <w:numId w:val="29"/>
        </w:numPr>
        <w:spacing w:after="0" w:line="240" w:lineRule="auto"/>
        <w:jc w:val="both"/>
        <w:rPr>
          <w:rFonts w:ascii="Arial" w:eastAsia="Times New Roman" w:hAnsi="Arial" w:cs="Arial"/>
          <w:b/>
          <w:color w:val="000000"/>
        </w:rPr>
      </w:pPr>
      <w:r w:rsidRPr="007F322F">
        <w:rPr>
          <w:rFonts w:ascii="Arial" w:eastAsia="Times New Roman" w:hAnsi="Arial" w:cs="Arial"/>
          <w:b/>
          <w:color w:val="000000"/>
        </w:rPr>
        <w:t>FORMAT OF APPLICATION</w:t>
      </w:r>
    </w:p>
    <w:p w:rsidR="00D565E3" w:rsidRDefault="00D565E3" w:rsidP="00D565E3">
      <w:pPr>
        <w:spacing w:after="0" w:line="240" w:lineRule="auto"/>
        <w:jc w:val="both"/>
        <w:rPr>
          <w:rFonts w:ascii="Arial" w:eastAsia="Times New Roman" w:hAnsi="Arial" w:cs="Arial"/>
          <w:b/>
          <w:color w:val="000000"/>
        </w:rPr>
      </w:pPr>
    </w:p>
    <w:p w:rsidR="00D565E3" w:rsidRDefault="00D565E3" w:rsidP="00D565E3">
      <w:pPr>
        <w:pStyle w:val="NoSpacing"/>
        <w:ind w:left="1170" w:hanging="450"/>
        <w:rPr>
          <w:rFonts w:cs="Arial"/>
        </w:rPr>
      </w:pPr>
      <w:proofErr w:type="gramStart"/>
      <w:r>
        <w:rPr>
          <w:rFonts w:cs="Arial"/>
        </w:rPr>
        <w:t>c.1</w:t>
      </w:r>
      <w:proofErr w:type="gramEnd"/>
      <w:r>
        <w:rPr>
          <w:rFonts w:cs="Arial"/>
        </w:rPr>
        <w:t xml:space="preserve"> The DOE-EAT shall notify the GE on its qualification to the EEE Awards and shall require the submission of Self – Assessment Tool for EEE Awards for Government, reports and other necessary documents.  </w:t>
      </w:r>
    </w:p>
    <w:p w:rsidR="00BB4EBC" w:rsidRDefault="00BB4EBC" w:rsidP="00D565E3">
      <w:pPr>
        <w:pStyle w:val="NoSpacing"/>
        <w:ind w:left="1170" w:hanging="450"/>
        <w:rPr>
          <w:rFonts w:cs="Arial"/>
        </w:rPr>
      </w:pPr>
    </w:p>
    <w:p w:rsidR="00D565E3" w:rsidRDefault="00D565E3" w:rsidP="00D565E3">
      <w:pPr>
        <w:pStyle w:val="NoSpacing"/>
        <w:ind w:left="720"/>
        <w:rPr>
          <w:rFonts w:cs="Arial"/>
        </w:rPr>
      </w:pPr>
      <w:proofErr w:type="gramStart"/>
      <w:r>
        <w:rPr>
          <w:rFonts w:cs="Arial"/>
        </w:rPr>
        <w:t>c.</w:t>
      </w:r>
      <w:r w:rsidR="00BB4EBC">
        <w:rPr>
          <w:rFonts w:cs="Arial"/>
        </w:rPr>
        <w:t>2</w:t>
      </w:r>
      <w:proofErr w:type="gramEnd"/>
      <w:r>
        <w:rPr>
          <w:rFonts w:cs="Arial"/>
        </w:rPr>
        <w:t xml:space="preserve"> All reports shall be addressed to the EUMB Director:</w:t>
      </w:r>
    </w:p>
    <w:p w:rsidR="00D565E3" w:rsidRDefault="00D565E3" w:rsidP="00D565E3">
      <w:pPr>
        <w:pStyle w:val="NoSpacing"/>
        <w:ind w:left="720"/>
        <w:rPr>
          <w:rFonts w:cs="Arial"/>
        </w:rPr>
      </w:pPr>
    </w:p>
    <w:p w:rsidR="00D565E3" w:rsidRDefault="00D565E3" w:rsidP="00D565E3">
      <w:pPr>
        <w:pStyle w:val="NoSpacing"/>
        <w:ind w:left="1080"/>
        <w:rPr>
          <w:rFonts w:cs="Arial"/>
        </w:rPr>
      </w:pPr>
      <w:r>
        <w:rPr>
          <w:rFonts w:cs="Arial"/>
        </w:rPr>
        <w:t>Director Patrick T. Aquino, CESO III</w:t>
      </w:r>
    </w:p>
    <w:p w:rsidR="00D565E3" w:rsidRDefault="00D565E3" w:rsidP="00D565E3">
      <w:pPr>
        <w:pStyle w:val="NoSpacing"/>
        <w:ind w:left="1080"/>
        <w:rPr>
          <w:rFonts w:cs="Arial"/>
        </w:rPr>
      </w:pPr>
      <w:r>
        <w:rPr>
          <w:rFonts w:cs="Arial"/>
        </w:rPr>
        <w:t>Energy Utilization Management Bureau</w:t>
      </w:r>
    </w:p>
    <w:p w:rsidR="00D565E3" w:rsidRDefault="00D565E3" w:rsidP="00D565E3">
      <w:pPr>
        <w:pStyle w:val="NoSpacing"/>
        <w:ind w:left="1080"/>
        <w:rPr>
          <w:rFonts w:cs="Arial"/>
        </w:rPr>
      </w:pPr>
      <w:r>
        <w:rPr>
          <w:rFonts w:cs="Arial"/>
        </w:rPr>
        <w:t>Department of Energy</w:t>
      </w:r>
    </w:p>
    <w:p w:rsidR="00D565E3" w:rsidRDefault="00D565E3" w:rsidP="00D565E3">
      <w:pPr>
        <w:pStyle w:val="NoSpacing"/>
        <w:ind w:left="1080"/>
        <w:rPr>
          <w:rFonts w:cs="Arial"/>
        </w:rPr>
      </w:pPr>
      <w:r>
        <w:rPr>
          <w:rFonts w:cs="Arial"/>
        </w:rPr>
        <w:t xml:space="preserve">Energy </w:t>
      </w:r>
      <w:proofErr w:type="spellStart"/>
      <w:r>
        <w:rPr>
          <w:rFonts w:cs="Arial"/>
        </w:rPr>
        <w:t>Center</w:t>
      </w:r>
      <w:proofErr w:type="spellEnd"/>
      <w:r>
        <w:rPr>
          <w:rFonts w:cs="Arial"/>
        </w:rPr>
        <w:t xml:space="preserve"> Rizal Drive, BGC, </w:t>
      </w:r>
      <w:proofErr w:type="spellStart"/>
      <w:r>
        <w:rPr>
          <w:rFonts w:cs="Arial"/>
        </w:rPr>
        <w:t>Taguig</w:t>
      </w:r>
      <w:proofErr w:type="spellEnd"/>
      <w:r>
        <w:rPr>
          <w:rFonts w:cs="Arial"/>
        </w:rPr>
        <w:t xml:space="preserve"> City</w:t>
      </w:r>
    </w:p>
    <w:p w:rsidR="00D565E3" w:rsidRDefault="00D565E3" w:rsidP="00D565E3">
      <w:pPr>
        <w:pStyle w:val="NoSpacing"/>
        <w:ind w:left="720"/>
        <w:rPr>
          <w:rFonts w:cs="Arial"/>
        </w:rPr>
      </w:pPr>
    </w:p>
    <w:p w:rsidR="00D565E3" w:rsidRDefault="00D565E3" w:rsidP="00D565E3">
      <w:pPr>
        <w:pStyle w:val="NoSpacing"/>
        <w:ind w:left="1170" w:hanging="450"/>
        <w:rPr>
          <w:rFonts w:cs="Arial"/>
        </w:rPr>
      </w:pPr>
      <w:proofErr w:type="gramStart"/>
      <w:r>
        <w:rPr>
          <w:rFonts w:cs="Arial"/>
        </w:rPr>
        <w:t>c.</w:t>
      </w:r>
      <w:r w:rsidR="00BB4EBC">
        <w:rPr>
          <w:rFonts w:cs="Arial"/>
        </w:rPr>
        <w:t>3</w:t>
      </w:r>
      <w:proofErr w:type="gramEnd"/>
      <w:r>
        <w:rPr>
          <w:rFonts w:cs="Arial"/>
        </w:rPr>
        <w:t xml:space="preserve"> Submit the report in </w:t>
      </w:r>
      <w:r w:rsidRPr="00C735BB">
        <w:rPr>
          <w:rFonts w:cs="Arial"/>
          <w:b/>
          <w:u w:val="single"/>
        </w:rPr>
        <w:t>ONE (1) FILE ONLY</w:t>
      </w:r>
      <w:r>
        <w:rPr>
          <w:rFonts w:cs="Arial"/>
        </w:rPr>
        <w:t xml:space="preserve"> in </w:t>
      </w:r>
      <w:r w:rsidRPr="00C735BB">
        <w:rPr>
          <w:rFonts w:cs="Arial"/>
          <w:b/>
          <w:u w:val="single"/>
        </w:rPr>
        <w:t>PDF FORMAT</w:t>
      </w:r>
      <w:r>
        <w:rPr>
          <w:rFonts w:cs="Arial"/>
        </w:rPr>
        <w:t>, following the name formatting provided below:</w:t>
      </w:r>
    </w:p>
    <w:p w:rsidR="00D565E3" w:rsidRDefault="00D565E3" w:rsidP="00D565E3">
      <w:pPr>
        <w:pStyle w:val="NoSpacing"/>
        <w:ind w:left="720"/>
        <w:rPr>
          <w:rFonts w:cs="Arial"/>
        </w:rPr>
      </w:pPr>
    </w:p>
    <w:p w:rsidR="00D565E3" w:rsidRDefault="00D565E3" w:rsidP="00D565E3">
      <w:pPr>
        <w:pStyle w:val="NoSpacing"/>
        <w:ind w:left="1260"/>
        <w:rPr>
          <w:rFonts w:cs="Arial"/>
        </w:rPr>
      </w:pPr>
      <w:r>
        <w:rPr>
          <w:rFonts w:cs="Arial"/>
        </w:rPr>
        <w:t>Subject and File Name: EEE Awards for &lt;GE&gt; _ &lt;Name of GE&gt;</w:t>
      </w:r>
    </w:p>
    <w:p w:rsidR="00D565E3" w:rsidRDefault="00D565E3" w:rsidP="00D565E3">
      <w:pPr>
        <w:pStyle w:val="NoSpacing"/>
        <w:ind w:left="1260"/>
        <w:rPr>
          <w:rFonts w:cs="Arial"/>
        </w:rPr>
      </w:pPr>
    </w:p>
    <w:p w:rsidR="00D565E3" w:rsidRDefault="00D565E3" w:rsidP="00D565E3">
      <w:pPr>
        <w:pStyle w:val="NoSpacing"/>
        <w:ind w:left="1260"/>
        <w:rPr>
          <w:rFonts w:cs="Arial"/>
        </w:rPr>
      </w:pPr>
      <w:r>
        <w:rPr>
          <w:rFonts w:cs="Arial"/>
        </w:rPr>
        <w:t>Ex. EEE Awards for NGA_ DOE</w:t>
      </w:r>
    </w:p>
    <w:p w:rsidR="00D565E3" w:rsidRDefault="00D565E3" w:rsidP="00D565E3">
      <w:pPr>
        <w:pStyle w:val="NoSpacing"/>
        <w:ind w:left="1260"/>
        <w:rPr>
          <w:rFonts w:cs="Arial"/>
        </w:rPr>
      </w:pPr>
      <w:r>
        <w:rPr>
          <w:rFonts w:cs="Arial"/>
        </w:rPr>
        <w:t xml:space="preserve">      EEE Awards for GOCC_PNOC</w:t>
      </w:r>
    </w:p>
    <w:p w:rsidR="00D565E3" w:rsidRDefault="00D565E3" w:rsidP="00D565E3">
      <w:pPr>
        <w:pStyle w:val="NoSpacing"/>
        <w:ind w:left="1260"/>
        <w:rPr>
          <w:rFonts w:cs="Arial"/>
        </w:rPr>
      </w:pPr>
      <w:r>
        <w:rPr>
          <w:rFonts w:cs="Arial"/>
        </w:rPr>
        <w:t xml:space="preserve">      EEE Awards for SUC_UP</w:t>
      </w:r>
    </w:p>
    <w:p w:rsidR="00D565E3" w:rsidRDefault="00D565E3" w:rsidP="00D565E3">
      <w:pPr>
        <w:pStyle w:val="NoSpacing"/>
        <w:ind w:left="1260"/>
        <w:rPr>
          <w:rFonts w:cs="Arial"/>
        </w:rPr>
      </w:pPr>
      <w:r>
        <w:rPr>
          <w:rFonts w:cs="Arial"/>
        </w:rPr>
        <w:t xml:space="preserve">      EEE Awards for </w:t>
      </w:r>
      <w:proofErr w:type="spellStart"/>
      <w:r>
        <w:rPr>
          <w:rFonts w:cs="Arial"/>
        </w:rPr>
        <w:t>LGU_Makati</w:t>
      </w:r>
      <w:proofErr w:type="spellEnd"/>
      <w:r>
        <w:rPr>
          <w:rFonts w:cs="Arial"/>
        </w:rPr>
        <w:t xml:space="preserve"> City </w:t>
      </w:r>
    </w:p>
    <w:p w:rsidR="00D565E3" w:rsidRDefault="00D565E3" w:rsidP="00D565E3">
      <w:pPr>
        <w:spacing w:after="0" w:line="240" w:lineRule="auto"/>
        <w:jc w:val="both"/>
        <w:rPr>
          <w:rFonts w:ascii="Arial" w:eastAsia="Times New Roman" w:hAnsi="Arial" w:cs="Arial"/>
          <w:b/>
          <w:color w:val="000000"/>
        </w:rPr>
      </w:pPr>
    </w:p>
    <w:p w:rsidR="00D565E3" w:rsidRPr="00466019" w:rsidRDefault="00D565E3" w:rsidP="00D565E3">
      <w:pPr>
        <w:pStyle w:val="NoSpacing"/>
        <w:ind w:firstLine="720"/>
        <w:rPr>
          <w:rFonts w:cs="Arial"/>
        </w:rPr>
      </w:pPr>
      <w:proofErr w:type="gramStart"/>
      <w:r w:rsidRPr="00D565E3">
        <w:rPr>
          <w:rFonts w:eastAsia="Times New Roman" w:cs="Arial"/>
          <w:color w:val="000000"/>
        </w:rPr>
        <w:t>c.</w:t>
      </w:r>
      <w:r w:rsidR="00BB4EBC">
        <w:rPr>
          <w:rFonts w:eastAsia="Times New Roman" w:cs="Arial"/>
          <w:color w:val="000000"/>
        </w:rPr>
        <w:t>4</w:t>
      </w:r>
      <w:proofErr w:type="gramEnd"/>
      <w:r w:rsidRPr="00D565E3">
        <w:rPr>
          <w:rFonts w:eastAsia="Times New Roman" w:cs="Arial"/>
          <w:color w:val="000000"/>
        </w:rPr>
        <w:t xml:space="preserve"> </w:t>
      </w:r>
      <w:r>
        <w:rPr>
          <w:rFonts w:cs="Arial"/>
        </w:rPr>
        <w:t>Report Format</w:t>
      </w:r>
    </w:p>
    <w:p w:rsidR="00D565E3" w:rsidRDefault="00D565E3" w:rsidP="00D565E3">
      <w:pPr>
        <w:pStyle w:val="NoSpacing"/>
        <w:ind w:left="1800"/>
        <w:rPr>
          <w:rFonts w:cs="Arial"/>
        </w:rPr>
      </w:pPr>
      <w:r>
        <w:rPr>
          <w:rFonts w:cs="Arial"/>
        </w:rPr>
        <w:t>Font Style</w:t>
      </w:r>
      <w:r>
        <w:rPr>
          <w:rFonts w:cs="Arial"/>
        </w:rPr>
        <w:tab/>
      </w:r>
      <w:r>
        <w:rPr>
          <w:rFonts w:cs="Arial"/>
        </w:rPr>
        <w:tab/>
        <w:t xml:space="preserve">: </w:t>
      </w:r>
      <w:r>
        <w:rPr>
          <w:rFonts w:cs="Arial"/>
        </w:rPr>
        <w:tab/>
        <w:t>Arial</w:t>
      </w:r>
    </w:p>
    <w:p w:rsidR="00D565E3" w:rsidRDefault="00D565E3" w:rsidP="00D565E3">
      <w:pPr>
        <w:pStyle w:val="NoSpacing"/>
        <w:ind w:left="1800"/>
        <w:rPr>
          <w:rFonts w:cs="Arial"/>
        </w:rPr>
      </w:pPr>
      <w:r>
        <w:rPr>
          <w:rFonts w:cs="Arial"/>
        </w:rPr>
        <w:t>Font Size</w:t>
      </w:r>
      <w:r>
        <w:rPr>
          <w:rFonts w:cs="Arial"/>
        </w:rPr>
        <w:tab/>
      </w:r>
      <w:r>
        <w:rPr>
          <w:rFonts w:cs="Arial"/>
        </w:rPr>
        <w:tab/>
        <w:t xml:space="preserve">: </w:t>
      </w:r>
      <w:r>
        <w:rPr>
          <w:rFonts w:cs="Arial"/>
        </w:rPr>
        <w:tab/>
        <w:t>12</w:t>
      </w:r>
    </w:p>
    <w:p w:rsidR="00D565E3" w:rsidRDefault="00D565E3" w:rsidP="00D565E3">
      <w:pPr>
        <w:pStyle w:val="NoSpacing"/>
        <w:ind w:left="1800"/>
        <w:rPr>
          <w:rFonts w:cs="Arial"/>
        </w:rPr>
      </w:pPr>
      <w:r>
        <w:rPr>
          <w:rFonts w:cs="Arial"/>
        </w:rPr>
        <w:t>Spacing</w:t>
      </w:r>
      <w:r>
        <w:rPr>
          <w:rFonts w:cs="Arial"/>
        </w:rPr>
        <w:tab/>
      </w:r>
      <w:r>
        <w:rPr>
          <w:rFonts w:cs="Arial"/>
        </w:rPr>
        <w:tab/>
        <w:t xml:space="preserve">: </w:t>
      </w:r>
      <w:r>
        <w:rPr>
          <w:rFonts w:cs="Arial"/>
        </w:rPr>
        <w:tab/>
        <w:t>Single</w:t>
      </w:r>
    </w:p>
    <w:p w:rsidR="00D565E3" w:rsidRDefault="00D565E3" w:rsidP="00D565E3">
      <w:pPr>
        <w:pStyle w:val="NoSpacing"/>
        <w:ind w:left="1800"/>
        <w:rPr>
          <w:rFonts w:cs="Arial"/>
        </w:rPr>
      </w:pPr>
      <w:r>
        <w:rPr>
          <w:rFonts w:cs="Arial"/>
        </w:rPr>
        <w:t>Margin</w:t>
      </w:r>
      <w:r>
        <w:rPr>
          <w:rFonts w:cs="Arial"/>
        </w:rPr>
        <w:tab/>
      </w:r>
      <w:r>
        <w:rPr>
          <w:rFonts w:cs="Arial"/>
        </w:rPr>
        <w:tab/>
        <w:t xml:space="preserve">: </w:t>
      </w:r>
      <w:r>
        <w:rPr>
          <w:rFonts w:cs="Arial"/>
        </w:rPr>
        <w:tab/>
        <w:t>1 inch in all sides</w:t>
      </w:r>
    </w:p>
    <w:p w:rsidR="00D565E3" w:rsidRPr="00C3558C" w:rsidRDefault="00D565E3" w:rsidP="00D565E3">
      <w:pPr>
        <w:pStyle w:val="NoSpacing"/>
        <w:ind w:left="1800"/>
        <w:rPr>
          <w:rFonts w:cs="Arial"/>
        </w:rPr>
      </w:pPr>
      <w:r>
        <w:rPr>
          <w:rFonts w:cs="Arial"/>
        </w:rPr>
        <w:t>Size of Paper</w:t>
      </w:r>
      <w:r>
        <w:rPr>
          <w:rFonts w:cs="Arial"/>
        </w:rPr>
        <w:tab/>
        <w:t xml:space="preserve">: </w:t>
      </w:r>
      <w:r>
        <w:rPr>
          <w:rFonts w:cs="Arial"/>
        </w:rPr>
        <w:tab/>
        <w:t>A4</w:t>
      </w:r>
    </w:p>
    <w:p w:rsidR="00D565E3" w:rsidRDefault="00D565E3" w:rsidP="00D565E3">
      <w:pPr>
        <w:spacing w:after="0" w:line="240" w:lineRule="auto"/>
        <w:ind w:left="810"/>
        <w:jc w:val="both"/>
        <w:rPr>
          <w:rFonts w:ascii="Arial" w:eastAsia="Times New Roman" w:hAnsi="Arial" w:cs="Arial"/>
          <w:color w:val="000000"/>
        </w:rPr>
      </w:pPr>
    </w:p>
    <w:p w:rsidR="002F3A97" w:rsidRDefault="002F3A97" w:rsidP="00D565E3">
      <w:pPr>
        <w:spacing w:after="0" w:line="240" w:lineRule="auto"/>
        <w:ind w:left="810"/>
        <w:jc w:val="both"/>
        <w:rPr>
          <w:rFonts w:ascii="Arial" w:eastAsia="Times New Roman" w:hAnsi="Arial" w:cs="Arial"/>
          <w:color w:val="000000"/>
        </w:rPr>
      </w:pPr>
    </w:p>
    <w:tbl>
      <w:tblPr>
        <w:tblStyle w:val="TableGrid"/>
        <w:tblW w:w="0" w:type="auto"/>
        <w:tblInd w:w="279" w:type="dxa"/>
        <w:tblLook w:val="04A0" w:firstRow="1" w:lastRow="0" w:firstColumn="1" w:lastColumn="0" w:noHBand="0" w:noVBand="1"/>
      </w:tblPr>
      <w:tblGrid>
        <w:gridCol w:w="6520"/>
        <w:gridCol w:w="2211"/>
      </w:tblGrid>
      <w:tr w:rsidR="002F3A97" w:rsidTr="00986912">
        <w:tc>
          <w:tcPr>
            <w:tcW w:w="6520" w:type="dxa"/>
          </w:tcPr>
          <w:p w:rsidR="002F3A97" w:rsidRPr="00C3558C" w:rsidRDefault="002F3A97" w:rsidP="00986912">
            <w:pPr>
              <w:pStyle w:val="NoSpacing"/>
              <w:jc w:val="center"/>
              <w:rPr>
                <w:rFonts w:cs="Arial"/>
                <w:b/>
              </w:rPr>
            </w:pPr>
            <w:r w:rsidRPr="00C3558C">
              <w:rPr>
                <w:rFonts w:cs="Arial"/>
                <w:b/>
              </w:rPr>
              <w:t>Submission Heading</w:t>
            </w:r>
          </w:p>
        </w:tc>
        <w:tc>
          <w:tcPr>
            <w:tcW w:w="2211" w:type="dxa"/>
          </w:tcPr>
          <w:p w:rsidR="002F3A97" w:rsidRPr="00C3558C" w:rsidRDefault="002F3A97" w:rsidP="00986912">
            <w:pPr>
              <w:pStyle w:val="NoSpacing"/>
              <w:jc w:val="center"/>
              <w:rPr>
                <w:rFonts w:cs="Arial"/>
                <w:b/>
              </w:rPr>
            </w:pPr>
            <w:r w:rsidRPr="00C3558C">
              <w:rPr>
                <w:rFonts w:cs="Arial"/>
                <w:b/>
              </w:rPr>
              <w:t>Maximum Number of Allocation</w:t>
            </w:r>
          </w:p>
        </w:tc>
      </w:tr>
      <w:tr w:rsidR="002F3A97" w:rsidTr="00986912">
        <w:tc>
          <w:tcPr>
            <w:tcW w:w="6520" w:type="dxa"/>
          </w:tcPr>
          <w:p w:rsidR="002F3A97" w:rsidRPr="00C3558C" w:rsidRDefault="002F3A97" w:rsidP="00986912">
            <w:pPr>
              <w:pStyle w:val="NoSpacing"/>
              <w:rPr>
                <w:rFonts w:cs="Arial"/>
              </w:rPr>
            </w:pPr>
            <w:r>
              <w:rPr>
                <w:rFonts w:cs="Arial"/>
              </w:rPr>
              <w:t>Transmittal Letter</w:t>
            </w:r>
          </w:p>
        </w:tc>
        <w:tc>
          <w:tcPr>
            <w:tcW w:w="2211" w:type="dxa"/>
          </w:tcPr>
          <w:p w:rsidR="002F3A97" w:rsidRPr="00C3558C" w:rsidRDefault="002F3A97" w:rsidP="00986912">
            <w:pPr>
              <w:pStyle w:val="NoSpacing"/>
              <w:jc w:val="center"/>
              <w:rPr>
                <w:rFonts w:cs="Arial"/>
              </w:rPr>
            </w:pPr>
            <w:r>
              <w:rPr>
                <w:rFonts w:cs="Arial"/>
              </w:rPr>
              <w:t>No Count</w:t>
            </w:r>
          </w:p>
        </w:tc>
      </w:tr>
      <w:tr w:rsidR="002F3A97" w:rsidTr="00986912">
        <w:tc>
          <w:tcPr>
            <w:tcW w:w="6520" w:type="dxa"/>
          </w:tcPr>
          <w:p w:rsidR="002F3A97" w:rsidRPr="00C3558C" w:rsidRDefault="002F3A97" w:rsidP="00986912">
            <w:pPr>
              <w:pStyle w:val="NoSpacing"/>
              <w:rPr>
                <w:rFonts w:cs="Arial"/>
              </w:rPr>
            </w:pPr>
            <w:r>
              <w:rPr>
                <w:rFonts w:cs="Arial"/>
              </w:rPr>
              <w:t>Cover Page</w:t>
            </w:r>
          </w:p>
        </w:tc>
        <w:tc>
          <w:tcPr>
            <w:tcW w:w="2211" w:type="dxa"/>
          </w:tcPr>
          <w:p w:rsidR="002F3A97" w:rsidRPr="00C3558C" w:rsidRDefault="002F3A97" w:rsidP="00986912">
            <w:pPr>
              <w:pStyle w:val="NoSpacing"/>
              <w:jc w:val="center"/>
              <w:rPr>
                <w:rFonts w:cs="Arial"/>
              </w:rPr>
            </w:pPr>
            <w:r>
              <w:rPr>
                <w:rFonts w:cs="Arial"/>
              </w:rPr>
              <w:t>No Count</w:t>
            </w:r>
          </w:p>
        </w:tc>
      </w:tr>
      <w:tr w:rsidR="002F3A97" w:rsidTr="00986912">
        <w:tc>
          <w:tcPr>
            <w:tcW w:w="6520" w:type="dxa"/>
          </w:tcPr>
          <w:p w:rsidR="002F3A97" w:rsidRPr="000264AD" w:rsidRDefault="002F3A97" w:rsidP="00986912">
            <w:pPr>
              <w:pStyle w:val="NoSpacing"/>
              <w:rPr>
                <w:rFonts w:cs="Arial"/>
                <w:b/>
                <w:u w:val="single"/>
              </w:rPr>
            </w:pPr>
            <w:r w:rsidRPr="000264AD">
              <w:rPr>
                <w:rFonts w:cs="Arial"/>
                <w:b/>
                <w:u w:val="single"/>
              </w:rPr>
              <w:t>Part I: Overview of the GE</w:t>
            </w:r>
          </w:p>
          <w:p w:rsidR="002F3A97" w:rsidRDefault="002F3A97" w:rsidP="00986912">
            <w:pPr>
              <w:pStyle w:val="NoSpacing"/>
              <w:numPr>
                <w:ilvl w:val="0"/>
                <w:numId w:val="6"/>
              </w:numPr>
              <w:ind w:left="720"/>
              <w:rPr>
                <w:rFonts w:cs="Arial"/>
              </w:rPr>
            </w:pPr>
            <w:r>
              <w:rPr>
                <w:rFonts w:cs="Arial"/>
              </w:rPr>
              <w:t>Description of the GE</w:t>
            </w:r>
          </w:p>
          <w:p w:rsidR="002F3A97" w:rsidRPr="00343E26" w:rsidRDefault="002F3A97" w:rsidP="00986912">
            <w:pPr>
              <w:pStyle w:val="NoSpacing"/>
              <w:numPr>
                <w:ilvl w:val="0"/>
                <w:numId w:val="6"/>
              </w:numPr>
              <w:ind w:left="720"/>
              <w:rPr>
                <w:rFonts w:cs="Arial"/>
              </w:rPr>
            </w:pPr>
            <w:r>
              <w:rPr>
                <w:rFonts w:cs="Arial"/>
              </w:rPr>
              <w:t>Rationale</w:t>
            </w:r>
          </w:p>
        </w:tc>
        <w:tc>
          <w:tcPr>
            <w:tcW w:w="2211" w:type="dxa"/>
          </w:tcPr>
          <w:p w:rsidR="002F3A97" w:rsidRPr="00C3558C" w:rsidRDefault="002F3A97" w:rsidP="00986912">
            <w:pPr>
              <w:pStyle w:val="NoSpacing"/>
              <w:jc w:val="center"/>
              <w:rPr>
                <w:rFonts w:cs="Arial"/>
              </w:rPr>
            </w:pPr>
            <w:r>
              <w:rPr>
                <w:rFonts w:cs="Arial"/>
              </w:rPr>
              <w:t>1</w:t>
            </w:r>
          </w:p>
        </w:tc>
      </w:tr>
      <w:tr w:rsidR="002F3A97" w:rsidTr="00986912">
        <w:tc>
          <w:tcPr>
            <w:tcW w:w="6520" w:type="dxa"/>
          </w:tcPr>
          <w:p w:rsidR="002F3A97" w:rsidRPr="000264AD" w:rsidRDefault="002F3A97" w:rsidP="00986912">
            <w:pPr>
              <w:pStyle w:val="NoSpacing"/>
              <w:rPr>
                <w:rFonts w:cs="Arial"/>
                <w:b/>
                <w:u w:val="single"/>
              </w:rPr>
            </w:pPr>
            <w:r>
              <w:rPr>
                <w:rFonts w:cs="Arial"/>
                <w:b/>
                <w:u w:val="single"/>
              </w:rPr>
              <w:t xml:space="preserve">Part II. Best Practices </w:t>
            </w:r>
          </w:p>
          <w:p w:rsidR="002F3A97" w:rsidRDefault="002F3A97" w:rsidP="00986912">
            <w:pPr>
              <w:pStyle w:val="NoSpacing"/>
              <w:rPr>
                <w:rFonts w:cs="Arial"/>
              </w:rPr>
            </w:pPr>
          </w:p>
          <w:p w:rsidR="002F3A97" w:rsidRDefault="002F3A97" w:rsidP="00986912">
            <w:pPr>
              <w:pStyle w:val="NoSpacing"/>
              <w:numPr>
                <w:ilvl w:val="0"/>
                <w:numId w:val="7"/>
              </w:numPr>
              <w:ind w:left="360"/>
              <w:rPr>
                <w:rFonts w:cs="Arial"/>
              </w:rPr>
            </w:pPr>
            <w:r>
              <w:rPr>
                <w:rFonts w:cs="Arial"/>
              </w:rPr>
              <w:t>Best Practices for Electricity Conservation</w:t>
            </w:r>
          </w:p>
          <w:p w:rsidR="002F3A97" w:rsidRDefault="002F3A97" w:rsidP="00986912">
            <w:pPr>
              <w:pStyle w:val="NoSpacing"/>
              <w:numPr>
                <w:ilvl w:val="1"/>
                <w:numId w:val="25"/>
              </w:numPr>
              <w:ind w:left="855" w:hanging="425"/>
              <w:rPr>
                <w:rFonts w:cs="Arial"/>
              </w:rPr>
            </w:pPr>
            <w:r>
              <w:rPr>
                <w:rFonts w:cs="Arial"/>
              </w:rPr>
              <w:t>Energy Conservation Measures (without Investment Cost)</w:t>
            </w:r>
          </w:p>
          <w:p w:rsidR="002F3A97" w:rsidRDefault="002F3A97" w:rsidP="00986912">
            <w:pPr>
              <w:pStyle w:val="NoSpacing"/>
              <w:numPr>
                <w:ilvl w:val="1"/>
                <w:numId w:val="25"/>
              </w:numPr>
              <w:ind w:left="862" w:hanging="425"/>
              <w:rPr>
                <w:rFonts w:cs="Arial"/>
              </w:rPr>
            </w:pPr>
            <w:r>
              <w:rPr>
                <w:rFonts w:cs="Arial"/>
              </w:rPr>
              <w:t>Energy Efficiency Measures (with Investment Cost)</w:t>
            </w:r>
          </w:p>
          <w:p w:rsidR="002F3A97" w:rsidRDefault="002F3A97" w:rsidP="00986912">
            <w:pPr>
              <w:pStyle w:val="NoSpacing"/>
              <w:ind w:left="732"/>
              <w:rPr>
                <w:rFonts w:cs="Arial"/>
              </w:rPr>
            </w:pPr>
          </w:p>
          <w:p w:rsidR="002F3A97" w:rsidRDefault="002F3A97" w:rsidP="00986912">
            <w:pPr>
              <w:pStyle w:val="NoSpacing"/>
              <w:numPr>
                <w:ilvl w:val="0"/>
                <w:numId w:val="7"/>
              </w:numPr>
              <w:ind w:left="360"/>
              <w:rPr>
                <w:rFonts w:cs="Arial"/>
              </w:rPr>
            </w:pPr>
            <w:r>
              <w:rPr>
                <w:rFonts w:cs="Arial"/>
              </w:rPr>
              <w:t>Best Practices for Fuel Conservation</w:t>
            </w:r>
          </w:p>
          <w:p w:rsidR="002F3A97" w:rsidRDefault="002F3A97" w:rsidP="00986912">
            <w:pPr>
              <w:pStyle w:val="NoSpacing"/>
              <w:numPr>
                <w:ilvl w:val="1"/>
                <w:numId w:val="25"/>
              </w:numPr>
              <w:ind w:left="862" w:hanging="425"/>
              <w:rPr>
                <w:rFonts w:cs="Arial"/>
              </w:rPr>
            </w:pPr>
            <w:r>
              <w:rPr>
                <w:rFonts w:cs="Arial"/>
              </w:rPr>
              <w:t>4. Energy Conservation Measures (without Investment Cost)</w:t>
            </w:r>
          </w:p>
          <w:p w:rsidR="002F3A97" w:rsidRPr="00031C04" w:rsidRDefault="002F3A97" w:rsidP="00986912">
            <w:pPr>
              <w:pStyle w:val="NoSpacing"/>
              <w:numPr>
                <w:ilvl w:val="1"/>
                <w:numId w:val="25"/>
              </w:numPr>
              <w:ind w:left="862" w:hanging="425"/>
              <w:rPr>
                <w:rFonts w:cs="Arial"/>
              </w:rPr>
            </w:pPr>
            <w:r>
              <w:rPr>
                <w:rFonts w:cs="Arial"/>
              </w:rPr>
              <w:t>Energy Efficiency Measures (with Investment Cost)</w:t>
            </w:r>
          </w:p>
        </w:tc>
        <w:tc>
          <w:tcPr>
            <w:tcW w:w="2211" w:type="dxa"/>
          </w:tcPr>
          <w:p w:rsidR="002F3A97" w:rsidRDefault="002F3A97" w:rsidP="00986912">
            <w:pPr>
              <w:pStyle w:val="NoSpacing"/>
              <w:jc w:val="center"/>
              <w:rPr>
                <w:rFonts w:cs="Arial"/>
              </w:rPr>
            </w:pPr>
          </w:p>
          <w:p w:rsidR="002F3A97" w:rsidRDefault="002F3A97" w:rsidP="00986912">
            <w:pPr>
              <w:pStyle w:val="NoSpacing"/>
              <w:jc w:val="center"/>
              <w:rPr>
                <w:rFonts w:cs="Arial"/>
              </w:rPr>
            </w:pPr>
          </w:p>
          <w:p w:rsidR="002F3A97" w:rsidRDefault="002F3A97" w:rsidP="00986912">
            <w:pPr>
              <w:pStyle w:val="NoSpacing"/>
              <w:jc w:val="center"/>
              <w:rPr>
                <w:rFonts w:cs="Arial"/>
              </w:rPr>
            </w:pPr>
          </w:p>
          <w:p w:rsidR="002F3A97" w:rsidRDefault="002F3A97" w:rsidP="00986912">
            <w:pPr>
              <w:pStyle w:val="NoSpacing"/>
              <w:jc w:val="center"/>
              <w:rPr>
                <w:rFonts w:cs="Arial"/>
              </w:rPr>
            </w:pPr>
            <w:r>
              <w:rPr>
                <w:rFonts w:cs="Arial"/>
              </w:rPr>
              <w:t>2</w:t>
            </w:r>
          </w:p>
          <w:p w:rsidR="002F3A97" w:rsidRDefault="002F3A97" w:rsidP="00986912">
            <w:pPr>
              <w:pStyle w:val="NoSpacing"/>
              <w:jc w:val="center"/>
              <w:rPr>
                <w:rFonts w:cs="Arial"/>
              </w:rPr>
            </w:pPr>
          </w:p>
          <w:p w:rsidR="002F3A97" w:rsidRDefault="002F3A97" w:rsidP="00986912">
            <w:pPr>
              <w:pStyle w:val="NoSpacing"/>
              <w:jc w:val="center"/>
              <w:rPr>
                <w:rFonts w:cs="Arial"/>
              </w:rPr>
            </w:pPr>
            <w:r>
              <w:rPr>
                <w:rFonts w:cs="Arial"/>
              </w:rPr>
              <w:t>2</w:t>
            </w:r>
          </w:p>
          <w:p w:rsidR="002F3A97" w:rsidRDefault="002F3A97" w:rsidP="00986912">
            <w:pPr>
              <w:pStyle w:val="NoSpacing"/>
              <w:jc w:val="center"/>
              <w:rPr>
                <w:rFonts w:cs="Arial"/>
              </w:rPr>
            </w:pPr>
          </w:p>
          <w:p w:rsidR="002F3A97" w:rsidRDefault="002F3A97" w:rsidP="00986912">
            <w:pPr>
              <w:pStyle w:val="NoSpacing"/>
              <w:jc w:val="center"/>
              <w:rPr>
                <w:rFonts w:cs="Arial"/>
              </w:rPr>
            </w:pPr>
          </w:p>
          <w:p w:rsidR="002F3A97" w:rsidRDefault="002F3A97" w:rsidP="00986912">
            <w:pPr>
              <w:pStyle w:val="NoSpacing"/>
              <w:jc w:val="center"/>
              <w:rPr>
                <w:rFonts w:cs="Arial"/>
              </w:rPr>
            </w:pPr>
            <w:r>
              <w:rPr>
                <w:rFonts w:cs="Arial"/>
              </w:rPr>
              <w:t>2</w:t>
            </w:r>
          </w:p>
          <w:p w:rsidR="002F3A97" w:rsidRDefault="002F3A97" w:rsidP="00986912">
            <w:pPr>
              <w:pStyle w:val="NoSpacing"/>
              <w:jc w:val="center"/>
              <w:rPr>
                <w:rFonts w:cs="Arial"/>
              </w:rPr>
            </w:pPr>
          </w:p>
          <w:p w:rsidR="002F3A97" w:rsidRDefault="002F3A97" w:rsidP="00986912">
            <w:pPr>
              <w:pStyle w:val="NoSpacing"/>
              <w:jc w:val="center"/>
              <w:rPr>
                <w:rFonts w:cs="Arial"/>
              </w:rPr>
            </w:pPr>
            <w:r>
              <w:rPr>
                <w:rFonts w:cs="Arial"/>
              </w:rPr>
              <w:t>2</w:t>
            </w:r>
          </w:p>
          <w:p w:rsidR="002F3A97" w:rsidRPr="00C3558C" w:rsidRDefault="002F3A97" w:rsidP="00986912">
            <w:pPr>
              <w:pStyle w:val="NoSpacing"/>
              <w:rPr>
                <w:rFonts w:cs="Arial"/>
              </w:rPr>
            </w:pPr>
          </w:p>
        </w:tc>
      </w:tr>
      <w:tr w:rsidR="002F3A97" w:rsidTr="00986912">
        <w:tc>
          <w:tcPr>
            <w:tcW w:w="6520" w:type="dxa"/>
          </w:tcPr>
          <w:p w:rsidR="002F3A97" w:rsidRDefault="002F3A97" w:rsidP="00986912">
            <w:pPr>
              <w:pStyle w:val="NoSpacing"/>
              <w:rPr>
                <w:rFonts w:cs="Arial"/>
                <w:b/>
                <w:u w:val="single"/>
              </w:rPr>
            </w:pPr>
            <w:r>
              <w:rPr>
                <w:rFonts w:cs="Arial"/>
                <w:b/>
                <w:u w:val="single"/>
              </w:rPr>
              <w:t>Part V. Consumption Report</w:t>
            </w:r>
          </w:p>
          <w:p w:rsidR="002F3A97" w:rsidRDefault="002F3A97" w:rsidP="00986912">
            <w:pPr>
              <w:pStyle w:val="NoSpacing"/>
              <w:numPr>
                <w:ilvl w:val="0"/>
                <w:numId w:val="12"/>
              </w:numPr>
              <w:ind w:left="360"/>
              <w:rPr>
                <w:rFonts w:cs="Arial"/>
              </w:rPr>
            </w:pPr>
            <w:r>
              <w:rPr>
                <w:rFonts w:cs="Arial"/>
              </w:rPr>
              <w:t>Electricity</w:t>
            </w:r>
          </w:p>
          <w:p w:rsidR="002F3A97" w:rsidRDefault="002F3A97" w:rsidP="00986912">
            <w:pPr>
              <w:pStyle w:val="NoSpacing"/>
              <w:numPr>
                <w:ilvl w:val="0"/>
                <w:numId w:val="13"/>
              </w:numPr>
              <w:ind w:left="720"/>
              <w:rPr>
                <w:rFonts w:cs="Arial"/>
              </w:rPr>
            </w:pPr>
            <w:r>
              <w:rPr>
                <w:rFonts w:cs="Arial"/>
              </w:rPr>
              <w:t xml:space="preserve">2015 January to December Electricity Consumption </w:t>
            </w:r>
          </w:p>
          <w:p w:rsidR="002F3A97" w:rsidRDefault="002F3A97" w:rsidP="00986912">
            <w:pPr>
              <w:pStyle w:val="NoSpacing"/>
              <w:numPr>
                <w:ilvl w:val="0"/>
                <w:numId w:val="13"/>
              </w:numPr>
              <w:ind w:left="720"/>
              <w:rPr>
                <w:rFonts w:cs="Arial"/>
              </w:rPr>
            </w:pPr>
            <w:r>
              <w:rPr>
                <w:rFonts w:cs="Arial"/>
              </w:rPr>
              <w:t>2020 January to December Electricity Consumption</w:t>
            </w:r>
          </w:p>
          <w:p w:rsidR="002F3A97" w:rsidRPr="00842409" w:rsidRDefault="002F3A97" w:rsidP="00986912">
            <w:pPr>
              <w:pStyle w:val="NoSpacing"/>
              <w:numPr>
                <w:ilvl w:val="0"/>
                <w:numId w:val="13"/>
              </w:numPr>
              <w:ind w:left="720"/>
              <w:rPr>
                <w:rFonts w:cs="Arial"/>
              </w:rPr>
            </w:pPr>
            <w:r>
              <w:rPr>
                <w:rFonts w:cs="Arial"/>
              </w:rPr>
              <w:t>2021 January to June Electricity Consumption</w:t>
            </w:r>
          </w:p>
          <w:p w:rsidR="002F3A97" w:rsidRDefault="002F3A97" w:rsidP="00986912">
            <w:pPr>
              <w:pStyle w:val="NoSpacing"/>
              <w:ind w:left="2520"/>
              <w:rPr>
                <w:rFonts w:cs="Arial"/>
              </w:rPr>
            </w:pPr>
          </w:p>
          <w:p w:rsidR="002F3A97" w:rsidRDefault="002F3A97" w:rsidP="00986912">
            <w:pPr>
              <w:pStyle w:val="NoSpacing"/>
              <w:numPr>
                <w:ilvl w:val="0"/>
                <w:numId w:val="12"/>
              </w:numPr>
              <w:ind w:left="360"/>
              <w:rPr>
                <w:rFonts w:cs="Arial"/>
              </w:rPr>
            </w:pPr>
            <w:r>
              <w:rPr>
                <w:rFonts w:cs="Arial"/>
              </w:rPr>
              <w:t>Fuel</w:t>
            </w:r>
          </w:p>
          <w:p w:rsidR="002F3A97" w:rsidRDefault="002F3A97" w:rsidP="00986912">
            <w:pPr>
              <w:pStyle w:val="NoSpacing"/>
              <w:numPr>
                <w:ilvl w:val="0"/>
                <w:numId w:val="13"/>
              </w:numPr>
              <w:ind w:left="720"/>
              <w:rPr>
                <w:rFonts w:cs="Arial"/>
              </w:rPr>
            </w:pPr>
            <w:r>
              <w:rPr>
                <w:rFonts w:cs="Arial"/>
              </w:rPr>
              <w:t>2015 January to December Fuel Consumption</w:t>
            </w:r>
          </w:p>
          <w:p w:rsidR="002F3A97" w:rsidRDefault="002F3A97" w:rsidP="00986912">
            <w:pPr>
              <w:pStyle w:val="NoSpacing"/>
              <w:numPr>
                <w:ilvl w:val="0"/>
                <w:numId w:val="13"/>
              </w:numPr>
              <w:ind w:left="720"/>
              <w:rPr>
                <w:rFonts w:cs="Arial"/>
              </w:rPr>
            </w:pPr>
            <w:r>
              <w:rPr>
                <w:rFonts w:cs="Arial"/>
              </w:rPr>
              <w:t>2020 January to December Fuel Consumption</w:t>
            </w:r>
          </w:p>
          <w:p w:rsidR="002F3A97" w:rsidRPr="00031C04" w:rsidRDefault="002F3A97" w:rsidP="00986912">
            <w:pPr>
              <w:pStyle w:val="NoSpacing"/>
              <w:numPr>
                <w:ilvl w:val="0"/>
                <w:numId w:val="13"/>
              </w:numPr>
              <w:ind w:left="720"/>
              <w:rPr>
                <w:rFonts w:cs="Arial"/>
              </w:rPr>
            </w:pPr>
            <w:r>
              <w:rPr>
                <w:rFonts w:cs="Arial"/>
              </w:rPr>
              <w:t>2021 January to June Consumption</w:t>
            </w:r>
          </w:p>
        </w:tc>
        <w:tc>
          <w:tcPr>
            <w:tcW w:w="2211" w:type="dxa"/>
          </w:tcPr>
          <w:p w:rsidR="002F3A97" w:rsidRDefault="002F3A97" w:rsidP="00986912">
            <w:pPr>
              <w:pStyle w:val="NoSpacing"/>
              <w:jc w:val="center"/>
              <w:rPr>
                <w:rFonts w:cs="Arial"/>
              </w:rPr>
            </w:pPr>
          </w:p>
          <w:p w:rsidR="002F3A97" w:rsidRDefault="002F3A97" w:rsidP="00986912">
            <w:pPr>
              <w:pStyle w:val="NoSpacing"/>
              <w:jc w:val="center"/>
              <w:rPr>
                <w:rFonts w:cs="Arial"/>
              </w:rPr>
            </w:pPr>
            <w:r>
              <w:rPr>
                <w:rFonts w:cs="Arial"/>
              </w:rPr>
              <w:t>3</w:t>
            </w:r>
          </w:p>
          <w:p w:rsidR="002F3A97" w:rsidRDefault="002F3A97" w:rsidP="00986912">
            <w:pPr>
              <w:pStyle w:val="NoSpacing"/>
              <w:jc w:val="center"/>
              <w:rPr>
                <w:rFonts w:cs="Arial"/>
              </w:rPr>
            </w:pPr>
          </w:p>
          <w:p w:rsidR="002F3A97" w:rsidRDefault="002F3A97" w:rsidP="00986912">
            <w:pPr>
              <w:pStyle w:val="NoSpacing"/>
              <w:jc w:val="center"/>
              <w:rPr>
                <w:rFonts w:cs="Arial"/>
              </w:rPr>
            </w:pPr>
          </w:p>
          <w:p w:rsidR="002F3A97" w:rsidRDefault="002F3A97" w:rsidP="00986912">
            <w:pPr>
              <w:pStyle w:val="NoSpacing"/>
              <w:jc w:val="center"/>
              <w:rPr>
                <w:rFonts w:cs="Arial"/>
              </w:rPr>
            </w:pPr>
          </w:p>
          <w:p w:rsidR="002F3A97" w:rsidRDefault="002F3A97" w:rsidP="00986912">
            <w:pPr>
              <w:pStyle w:val="NoSpacing"/>
              <w:jc w:val="center"/>
              <w:rPr>
                <w:rFonts w:cs="Arial"/>
              </w:rPr>
            </w:pPr>
          </w:p>
          <w:p w:rsidR="002F3A97" w:rsidRDefault="002F3A97" w:rsidP="00986912">
            <w:pPr>
              <w:pStyle w:val="NoSpacing"/>
              <w:jc w:val="center"/>
              <w:rPr>
                <w:rFonts w:cs="Arial"/>
              </w:rPr>
            </w:pPr>
          </w:p>
          <w:p w:rsidR="002F3A97" w:rsidRPr="00C61EEF" w:rsidRDefault="002F3A97" w:rsidP="00986912">
            <w:pPr>
              <w:pStyle w:val="NoSpacing"/>
              <w:jc w:val="center"/>
              <w:rPr>
                <w:rFonts w:cs="Arial"/>
              </w:rPr>
            </w:pPr>
            <w:r>
              <w:rPr>
                <w:rFonts w:cs="Arial"/>
              </w:rPr>
              <w:t>3</w:t>
            </w:r>
          </w:p>
        </w:tc>
      </w:tr>
      <w:tr w:rsidR="002F3A97" w:rsidTr="00986912">
        <w:tc>
          <w:tcPr>
            <w:tcW w:w="6520" w:type="dxa"/>
          </w:tcPr>
          <w:p w:rsidR="002F3A97" w:rsidRPr="000264AD" w:rsidRDefault="002F3A97" w:rsidP="00986912">
            <w:pPr>
              <w:pStyle w:val="NoSpacing"/>
              <w:jc w:val="center"/>
              <w:rPr>
                <w:rFonts w:cs="Arial"/>
                <w:b/>
                <w:u w:val="single"/>
              </w:rPr>
            </w:pPr>
            <w:r>
              <w:rPr>
                <w:rFonts w:cs="Arial"/>
                <w:b/>
                <w:u w:val="single"/>
              </w:rPr>
              <w:t>Total Number of Pages</w:t>
            </w:r>
          </w:p>
        </w:tc>
        <w:tc>
          <w:tcPr>
            <w:tcW w:w="2211" w:type="dxa"/>
          </w:tcPr>
          <w:p w:rsidR="002F3A97" w:rsidRPr="00E91D19" w:rsidRDefault="002F3A97" w:rsidP="00986912">
            <w:pPr>
              <w:pStyle w:val="NoSpacing"/>
              <w:jc w:val="center"/>
              <w:rPr>
                <w:rFonts w:cs="Arial"/>
                <w:b/>
              </w:rPr>
            </w:pPr>
            <w:r>
              <w:rPr>
                <w:rFonts w:cs="Arial"/>
                <w:b/>
              </w:rPr>
              <w:t>15</w:t>
            </w:r>
          </w:p>
        </w:tc>
      </w:tr>
    </w:tbl>
    <w:p w:rsidR="002F3A97" w:rsidRDefault="002F3A97" w:rsidP="00D565E3">
      <w:pPr>
        <w:spacing w:after="0" w:line="240" w:lineRule="auto"/>
        <w:ind w:left="810"/>
        <w:jc w:val="both"/>
        <w:rPr>
          <w:rFonts w:ascii="Arial" w:eastAsia="Times New Roman" w:hAnsi="Arial" w:cs="Arial"/>
          <w:color w:val="000000"/>
        </w:rPr>
      </w:pPr>
    </w:p>
    <w:p w:rsidR="002F3A97" w:rsidRDefault="002F3A97" w:rsidP="00D565E3">
      <w:pPr>
        <w:spacing w:after="0" w:line="240" w:lineRule="auto"/>
        <w:ind w:left="810"/>
        <w:jc w:val="both"/>
        <w:rPr>
          <w:rFonts w:ascii="Arial" w:eastAsia="Times New Roman" w:hAnsi="Arial" w:cs="Arial"/>
          <w:color w:val="000000"/>
        </w:rPr>
      </w:pPr>
    </w:p>
    <w:p w:rsidR="002F3A97" w:rsidRDefault="002F3A97" w:rsidP="00D565E3">
      <w:pPr>
        <w:spacing w:after="0" w:line="240" w:lineRule="auto"/>
        <w:ind w:left="810"/>
        <w:jc w:val="both"/>
        <w:rPr>
          <w:rFonts w:ascii="Arial" w:eastAsia="Times New Roman" w:hAnsi="Arial" w:cs="Arial"/>
          <w:color w:val="000000"/>
        </w:rPr>
      </w:pPr>
    </w:p>
    <w:p w:rsidR="002F3A97" w:rsidRDefault="002F3A97" w:rsidP="00D565E3">
      <w:pPr>
        <w:spacing w:after="0" w:line="240" w:lineRule="auto"/>
        <w:ind w:left="810"/>
        <w:jc w:val="both"/>
        <w:rPr>
          <w:rFonts w:ascii="Arial" w:eastAsia="Times New Roman" w:hAnsi="Arial" w:cs="Arial"/>
          <w:color w:val="000000"/>
        </w:rPr>
      </w:pPr>
    </w:p>
    <w:p w:rsidR="00D565E3" w:rsidRDefault="00D565E3" w:rsidP="00D565E3">
      <w:pPr>
        <w:spacing w:after="0" w:line="240" w:lineRule="auto"/>
        <w:jc w:val="both"/>
        <w:rPr>
          <w:rFonts w:ascii="Arial" w:eastAsia="Times New Roman" w:hAnsi="Arial" w:cs="Arial"/>
          <w:b/>
          <w:color w:val="000000"/>
        </w:rPr>
      </w:pPr>
    </w:p>
    <w:p w:rsidR="00B26A5E" w:rsidRDefault="00B26A5E" w:rsidP="00D565E3">
      <w:pPr>
        <w:spacing w:after="0" w:line="240" w:lineRule="auto"/>
        <w:jc w:val="both"/>
        <w:rPr>
          <w:rFonts w:ascii="Arial" w:eastAsia="Times New Roman" w:hAnsi="Arial" w:cs="Arial"/>
          <w:b/>
          <w:color w:val="000000"/>
        </w:rPr>
      </w:pPr>
    </w:p>
    <w:p w:rsidR="001B43C1" w:rsidRPr="007F322F" w:rsidRDefault="004F7B10" w:rsidP="007F322F">
      <w:pPr>
        <w:pStyle w:val="ListParagraph"/>
        <w:numPr>
          <w:ilvl w:val="0"/>
          <w:numId w:val="29"/>
        </w:numPr>
        <w:spacing w:after="0" w:line="240" w:lineRule="auto"/>
        <w:rPr>
          <w:rFonts w:ascii="Arial" w:eastAsia="Times New Roman" w:hAnsi="Arial" w:cs="Arial"/>
          <w:b/>
          <w:color w:val="000000"/>
        </w:rPr>
      </w:pPr>
      <w:r w:rsidRPr="007F322F">
        <w:rPr>
          <w:rFonts w:ascii="Arial" w:eastAsia="Times New Roman" w:hAnsi="Arial" w:cs="Arial"/>
          <w:b/>
          <w:color w:val="000000"/>
        </w:rPr>
        <w:t xml:space="preserve"> </w:t>
      </w:r>
      <w:r w:rsidR="001B43C1" w:rsidRPr="007F322F">
        <w:rPr>
          <w:rFonts w:ascii="Arial" w:eastAsia="Times New Roman" w:hAnsi="Arial" w:cs="Arial"/>
          <w:b/>
          <w:color w:val="000000"/>
        </w:rPr>
        <w:t xml:space="preserve">INITIAL REVIEW </w:t>
      </w:r>
      <w:r w:rsidR="00C3432F" w:rsidRPr="007F322F">
        <w:rPr>
          <w:rFonts w:ascii="Arial" w:eastAsia="Times New Roman" w:hAnsi="Arial" w:cs="Arial"/>
          <w:b/>
          <w:color w:val="000000"/>
        </w:rPr>
        <w:t>OF APPLICATIONS</w:t>
      </w:r>
    </w:p>
    <w:p w:rsidR="00AA10E6" w:rsidRPr="00AA10E6" w:rsidRDefault="00AA10E6" w:rsidP="001B43C1">
      <w:pPr>
        <w:spacing w:after="0" w:line="240" w:lineRule="auto"/>
        <w:rPr>
          <w:rFonts w:ascii="Arial" w:eastAsia="Times New Roman" w:hAnsi="Arial" w:cs="Arial"/>
          <w:b/>
          <w:color w:val="000000"/>
        </w:rPr>
      </w:pPr>
    </w:p>
    <w:p w:rsidR="00AA10E6" w:rsidRPr="00AA10E6" w:rsidRDefault="00AA10E6" w:rsidP="00AA10E6">
      <w:pPr>
        <w:spacing w:after="0" w:line="240" w:lineRule="auto"/>
        <w:ind w:left="720"/>
        <w:rPr>
          <w:rFonts w:ascii="Arial" w:eastAsia="Times New Roman" w:hAnsi="Arial" w:cs="Arial"/>
          <w:color w:val="000000"/>
        </w:rPr>
      </w:pPr>
      <w:proofErr w:type="gramStart"/>
      <w:r w:rsidRPr="00D60CAA">
        <w:rPr>
          <w:rFonts w:ascii="Arial" w:eastAsia="Times New Roman" w:hAnsi="Arial" w:cs="Arial"/>
          <w:color w:val="000000"/>
        </w:rPr>
        <w:t>c.1</w:t>
      </w:r>
      <w:proofErr w:type="gramEnd"/>
      <w:r w:rsidRPr="00AA10E6">
        <w:rPr>
          <w:rFonts w:ascii="Arial" w:eastAsia="Times New Roman" w:hAnsi="Arial" w:cs="Arial"/>
          <w:color w:val="000000"/>
        </w:rPr>
        <w:t xml:space="preserve"> All applications will be initially reviewed by the EPSMD</w:t>
      </w:r>
      <w:r w:rsidR="00D60CAA">
        <w:rPr>
          <w:rFonts w:ascii="Arial" w:eastAsia="Times New Roman" w:hAnsi="Arial" w:cs="Arial"/>
          <w:color w:val="000000"/>
        </w:rPr>
        <w:t>.</w:t>
      </w:r>
    </w:p>
    <w:p w:rsidR="001B43C1" w:rsidRPr="00AA10E6" w:rsidRDefault="001B43C1" w:rsidP="001B43C1">
      <w:pPr>
        <w:spacing w:after="0" w:line="240" w:lineRule="auto"/>
        <w:rPr>
          <w:rFonts w:ascii="Arial" w:eastAsia="Times New Roman" w:hAnsi="Arial" w:cs="Arial"/>
          <w:color w:val="000000"/>
        </w:rPr>
      </w:pPr>
    </w:p>
    <w:p w:rsidR="00D56E3C" w:rsidRDefault="00C3432F" w:rsidP="00D56E3C">
      <w:pPr>
        <w:spacing w:after="0" w:line="240" w:lineRule="auto"/>
        <w:ind w:left="1080" w:hanging="360"/>
        <w:jc w:val="both"/>
        <w:rPr>
          <w:rFonts w:ascii="Arial" w:eastAsia="Times New Roman" w:hAnsi="Arial" w:cs="Arial"/>
          <w:color w:val="000000"/>
        </w:rPr>
      </w:pPr>
      <w:proofErr w:type="gramStart"/>
      <w:r w:rsidRPr="00AA10E6">
        <w:rPr>
          <w:rFonts w:ascii="Arial" w:eastAsia="Times New Roman" w:hAnsi="Arial" w:cs="Arial"/>
          <w:color w:val="000000"/>
        </w:rPr>
        <w:t>c.</w:t>
      </w:r>
      <w:r w:rsidR="00AA10E6">
        <w:rPr>
          <w:rFonts w:ascii="Arial" w:eastAsia="Times New Roman" w:hAnsi="Arial" w:cs="Arial"/>
          <w:color w:val="000000"/>
        </w:rPr>
        <w:t>2</w:t>
      </w:r>
      <w:proofErr w:type="gramEnd"/>
      <w:r w:rsidRPr="00AA10E6">
        <w:rPr>
          <w:rFonts w:ascii="Arial" w:eastAsia="Times New Roman" w:hAnsi="Arial" w:cs="Arial"/>
          <w:color w:val="000000"/>
        </w:rPr>
        <w:t xml:space="preserve"> </w:t>
      </w:r>
      <w:r w:rsidR="00E1370B" w:rsidRPr="00AA10E6">
        <w:rPr>
          <w:rFonts w:ascii="Arial" w:eastAsia="Times New Roman" w:hAnsi="Arial" w:cs="Arial"/>
          <w:color w:val="000000"/>
        </w:rPr>
        <w:t xml:space="preserve">Energy Audit Report and Rating is a requirement for all the applicants. However, </w:t>
      </w:r>
      <w:r w:rsidR="00455BB1" w:rsidRPr="00AA10E6">
        <w:rPr>
          <w:rFonts w:ascii="Arial" w:eastAsia="Times New Roman" w:hAnsi="Arial" w:cs="Arial"/>
          <w:color w:val="000000"/>
        </w:rPr>
        <w:t xml:space="preserve">GEs who </w:t>
      </w:r>
      <w:r w:rsidR="001B43C1" w:rsidRPr="00AA10E6">
        <w:rPr>
          <w:rFonts w:ascii="Arial" w:eastAsia="Times New Roman" w:hAnsi="Arial" w:cs="Arial"/>
          <w:color w:val="000000"/>
        </w:rPr>
        <w:t>applied</w:t>
      </w:r>
      <w:r w:rsidR="00455BB1" w:rsidRPr="00AA10E6">
        <w:rPr>
          <w:rFonts w:ascii="Arial" w:eastAsia="Times New Roman" w:hAnsi="Arial" w:cs="Arial"/>
          <w:color w:val="000000"/>
        </w:rPr>
        <w:t xml:space="preserve"> </w:t>
      </w:r>
      <w:r w:rsidR="00E1370B" w:rsidRPr="00AA10E6">
        <w:rPr>
          <w:rFonts w:ascii="Arial" w:eastAsia="Times New Roman" w:hAnsi="Arial" w:cs="Arial"/>
          <w:color w:val="000000"/>
        </w:rPr>
        <w:t xml:space="preserve">for </w:t>
      </w:r>
      <w:r w:rsidR="00455BB1" w:rsidRPr="00AA10E6">
        <w:rPr>
          <w:rFonts w:ascii="Arial" w:eastAsia="Times New Roman" w:hAnsi="Arial" w:cs="Arial"/>
          <w:color w:val="000000"/>
        </w:rPr>
        <w:t>EE</w:t>
      </w:r>
      <w:r w:rsidR="00DC17A7">
        <w:rPr>
          <w:rFonts w:ascii="Arial" w:eastAsia="Times New Roman" w:hAnsi="Arial" w:cs="Arial"/>
          <w:color w:val="000000"/>
        </w:rPr>
        <w:t>E</w:t>
      </w:r>
      <w:r w:rsidR="00455BB1" w:rsidRPr="00AA10E6">
        <w:rPr>
          <w:rFonts w:ascii="Arial" w:eastAsia="Times New Roman" w:hAnsi="Arial" w:cs="Arial"/>
          <w:color w:val="000000"/>
        </w:rPr>
        <w:t xml:space="preserve"> Awards but not yet audited</w:t>
      </w:r>
      <w:r w:rsidR="00E1370B" w:rsidRPr="00AA10E6">
        <w:rPr>
          <w:rFonts w:ascii="Arial" w:eastAsia="Times New Roman" w:hAnsi="Arial" w:cs="Arial"/>
          <w:color w:val="000000"/>
        </w:rPr>
        <w:t xml:space="preserve"> will be given a chance</w:t>
      </w:r>
      <w:r w:rsidR="00455BB1" w:rsidRPr="00AA10E6">
        <w:rPr>
          <w:rFonts w:ascii="Arial" w:eastAsia="Times New Roman" w:hAnsi="Arial" w:cs="Arial"/>
          <w:color w:val="000000"/>
        </w:rPr>
        <w:t xml:space="preserve"> by the DOE </w:t>
      </w:r>
      <w:r w:rsidR="00D60CAA">
        <w:rPr>
          <w:rFonts w:ascii="Arial" w:eastAsia="Times New Roman" w:hAnsi="Arial" w:cs="Arial"/>
          <w:color w:val="000000"/>
        </w:rPr>
        <w:t>by subjecting them for a virtual</w:t>
      </w:r>
      <w:r w:rsidR="00E1370B" w:rsidRPr="00AA10E6">
        <w:rPr>
          <w:rFonts w:ascii="Arial" w:eastAsia="Times New Roman" w:hAnsi="Arial" w:cs="Arial"/>
          <w:color w:val="000000"/>
        </w:rPr>
        <w:t xml:space="preserve"> energy audit to</w:t>
      </w:r>
      <w:r w:rsidR="00455BB1" w:rsidRPr="00AA10E6">
        <w:rPr>
          <w:rFonts w:ascii="Arial" w:eastAsia="Times New Roman" w:hAnsi="Arial" w:cs="Arial"/>
          <w:color w:val="000000"/>
        </w:rPr>
        <w:t xml:space="preserve"> assess its compliance to GEMP and obtain an energy audit rating</w:t>
      </w:r>
      <w:r w:rsidR="00F3294E" w:rsidRPr="00AA10E6">
        <w:rPr>
          <w:rFonts w:ascii="Arial" w:eastAsia="Times New Roman" w:hAnsi="Arial" w:cs="Arial"/>
          <w:color w:val="000000"/>
        </w:rPr>
        <w:t xml:space="preserve">. </w:t>
      </w:r>
    </w:p>
    <w:p w:rsidR="00D56E3C" w:rsidRPr="00AA10E6" w:rsidRDefault="00D56E3C" w:rsidP="00D56E3C">
      <w:pPr>
        <w:spacing w:after="0" w:line="240" w:lineRule="auto"/>
        <w:ind w:left="1080" w:hanging="360"/>
        <w:jc w:val="both"/>
        <w:rPr>
          <w:rFonts w:ascii="Arial" w:eastAsia="Times New Roman" w:hAnsi="Arial" w:cs="Arial"/>
          <w:color w:val="000000"/>
        </w:rPr>
      </w:pPr>
    </w:p>
    <w:p w:rsidR="00D56E3C" w:rsidRDefault="00D56E3C" w:rsidP="00D56E3C">
      <w:pPr>
        <w:spacing w:after="0" w:line="240" w:lineRule="auto"/>
        <w:ind w:left="1080" w:hanging="360"/>
        <w:jc w:val="both"/>
        <w:rPr>
          <w:rFonts w:ascii="Arial" w:eastAsia="Times New Roman" w:hAnsi="Arial" w:cs="Arial"/>
          <w:color w:val="000000"/>
        </w:rPr>
      </w:pPr>
      <w:r>
        <w:rPr>
          <w:rFonts w:ascii="Arial" w:eastAsia="Times New Roman" w:hAnsi="Arial" w:cs="Arial"/>
          <w:color w:val="000000"/>
        </w:rPr>
        <w:t>c.3</w:t>
      </w:r>
      <w:r w:rsidRPr="00AA10E6">
        <w:rPr>
          <w:rFonts w:ascii="Arial" w:eastAsia="Times New Roman" w:hAnsi="Arial" w:cs="Arial"/>
          <w:color w:val="000000"/>
        </w:rPr>
        <w:t xml:space="preserve"> </w:t>
      </w:r>
      <w:r w:rsidRPr="00455BB1">
        <w:rPr>
          <w:rFonts w:ascii="Arial" w:eastAsia="Times New Roman" w:hAnsi="Arial" w:cs="Arial"/>
          <w:color w:val="000000"/>
        </w:rPr>
        <w:t>For GEs who applied for EE</w:t>
      </w:r>
      <w:r w:rsidR="00DC17A7">
        <w:rPr>
          <w:rFonts w:ascii="Arial" w:eastAsia="Times New Roman" w:hAnsi="Arial" w:cs="Arial"/>
          <w:color w:val="000000"/>
        </w:rPr>
        <w:t>E</w:t>
      </w:r>
      <w:r w:rsidRPr="00455BB1">
        <w:rPr>
          <w:rFonts w:ascii="Arial" w:eastAsia="Times New Roman" w:hAnsi="Arial" w:cs="Arial"/>
          <w:color w:val="000000"/>
        </w:rPr>
        <w:t xml:space="preserve"> </w:t>
      </w:r>
      <w:r w:rsidRPr="00AA10E6">
        <w:rPr>
          <w:rFonts w:ascii="Arial" w:eastAsia="Times New Roman" w:hAnsi="Arial" w:cs="Arial"/>
          <w:color w:val="000000"/>
        </w:rPr>
        <w:t>Awards and</w:t>
      </w:r>
      <w:r w:rsidRPr="00455BB1">
        <w:rPr>
          <w:rFonts w:ascii="Arial" w:eastAsia="Times New Roman" w:hAnsi="Arial" w:cs="Arial"/>
          <w:color w:val="000000"/>
        </w:rPr>
        <w:t xml:space="preserve"> have already undergone an energy audit by DOE, DOST or an ESCO for the past 2 years, EPSMD should review and verify its audit report and rating </w:t>
      </w:r>
      <w:r w:rsidRPr="00AA10E6">
        <w:rPr>
          <w:rFonts w:ascii="Arial" w:eastAsia="Times New Roman" w:hAnsi="Arial" w:cs="Arial"/>
          <w:color w:val="000000"/>
        </w:rPr>
        <w:t xml:space="preserve">as </w:t>
      </w:r>
      <w:r>
        <w:rPr>
          <w:rFonts w:ascii="Arial" w:eastAsia="Times New Roman" w:hAnsi="Arial" w:cs="Arial"/>
          <w:color w:val="000000"/>
        </w:rPr>
        <w:t>part of the evaluation process.</w:t>
      </w:r>
    </w:p>
    <w:p w:rsidR="00A45715" w:rsidRPr="00AA10E6" w:rsidRDefault="00A45715" w:rsidP="00A45715">
      <w:pPr>
        <w:spacing w:after="0" w:line="240" w:lineRule="auto"/>
        <w:jc w:val="both"/>
        <w:rPr>
          <w:rFonts w:ascii="Arial" w:eastAsia="Times New Roman" w:hAnsi="Arial" w:cs="Arial"/>
          <w:color w:val="000000"/>
        </w:rPr>
      </w:pPr>
    </w:p>
    <w:p w:rsidR="00455BB1" w:rsidRPr="00AA10E6" w:rsidRDefault="00A45715" w:rsidP="00A45715">
      <w:pPr>
        <w:spacing w:after="0" w:line="240" w:lineRule="auto"/>
        <w:ind w:left="1080" w:hanging="360"/>
        <w:jc w:val="both"/>
        <w:rPr>
          <w:rFonts w:ascii="Arial" w:eastAsia="Times New Roman" w:hAnsi="Arial" w:cs="Arial"/>
          <w:color w:val="000000"/>
        </w:rPr>
      </w:pPr>
      <w:r w:rsidRPr="00AA10E6">
        <w:rPr>
          <w:rFonts w:ascii="Arial" w:eastAsia="Times New Roman" w:hAnsi="Arial" w:cs="Arial"/>
          <w:color w:val="000000"/>
        </w:rPr>
        <w:t>c.3</w:t>
      </w:r>
      <w:r w:rsidR="00DC17A7">
        <w:rPr>
          <w:rFonts w:ascii="Arial" w:eastAsia="Times New Roman" w:hAnsi="Arial" w:cs="Arial"/>
          <w:color w:val="000000"/>
        </w:rPr>
        <w:t xml:space="preserve"> For GEs who applied for EEE </w:t>
      </w:r>
      <w:r w:rsidR="00F3294E" w:rsidRPr="00AA10E6">
        <w:rPr>
          <w:rFonts w:ascii="Arial" w:eastAsia="Times New Roman" w:hAnsi="Arial" w:cs="Arial"/>
          <w:color w:val="000000"/>
        </w:rPr>
        <w:t>Awards and</w:t>
      </w:r>
      <w:r w:rsidR="00455BB1" w:rsidRPr="00455BB1">
        <w:rPr>
          <w:rFonts w:ascii="Arial" w:eastAsia="Times New Roman" w:hAnsi="Arial" w:cs="Arial"/>
          <w:color w:val="000000"/>
        </w:rPr>
        <w:t xml:space="preserve"> have already undergone an energy audit by DOE, DOST or an ESCO for the past 3 years or more will be su</w:t>
      </w:r>
      <w:r w:rsidRPr="00AA10E6">
        <w:rPr>
          <w:rFonts w:ascii="Arial" w:eastAsia="Times New Roman" w:hAnsi="Arial" w:cs="Arial"/>
          <w:color w:val="000000"/>
        </w:rPr>
        <w:t>bjected for virtual energy audit by the EPSMD.</w:t>
      </w:r>
    </w:p>
    <w:p w:rsidR="00A45715" w:rsidRPr="00AA10E6" w:rsidRDefault="00A45715" w:rsidP="00A45715">
      <w:pPr>
        <w:spacing w:after="0" w:line="240" w:lineRule="auto"/>
        <w:ind w:left="1080" w:hanging="360"/>
        <w:jc w:val="both"/>
        <w:rPr>
          <w:rFonts w:ascii="Arial" w:eastAsia="Times New Roman" w:hAnsi="Arial" w:cs="Arial"/>
          <w:color w:val="000000"/>
        </w:rPr>
      </w:pPr>
    </w:p>
    <w:p w:rsidR="00A45715" w:rsidRDefault="00AA10E6" w:rsidP="00A45715">
      <w:pPr>
        <w:spacing w:after="0" w:line="240" w:lineRule="auto"/>
        <w:ind w:left="1080" w:hanging="360"/>
        <w:jc w:val="both"/>
        <w:rPr>
          <w:rFonts w:ascii="Arial" w:eastAsia="Times New Roman" w:hAnsi="Arial" w:cs="Arial"/>
          <w:color w:val="000000"/>
        </w:rPr>
      </w:pPr>
      <w:proofErr w:type="gramStart"/>
      <w:r w:rsidRPr="00AA10E6">
        <w:rPr>
          <w:rFonts w:ascii="Arial" w:eastAsia="Times New Roman" w:hAnsi="Arial" w:cs="Arial"/>
          <w:color w:val="000000"/>
        </w:rPr>
        <w:t>c.4</w:t>
      </w:r>
      <w:proofErr w:type="gramEnd"/>
      <w:r w:rsidRPr="00AA10E6">
        <w:rPr>
          <w:rFonts w:ascii="Arial" w:eastAsia="Times New Roman" w:hAnsi="Arial" w:cs="Arial"/>
          <w:color w:val="000000"/>
        </w:rPr>
        <w:t xml:space="preserve"> EPSMD will prioritize the schedule for virtual energy audit of the applicant and should be conducted within </w:t>
      </w:r>
      <w:r w:rsidR="00D60CAA">
        <w:rPr>
          <w:rFonts w:ascii="Arial" w:eastAsia="Times New Roman" w:hAnsi="Arial" w:cs="Arial"/>
          <w:color w:val="000000"/>
        </w:rPr>
        <w:t xml:space="preserve">two (2) weeks prior to the date of </w:t>
      </w:r>
      <w:r w:rsidRPr="00AA10E6">
        <w:rPr>
          <w:rFonts w:ascii="Arial" w:eastAsia="Times New Roman" w:hAnsi="Arial" w:cs="Arial"/>
          <w:color w:val="000000"/>
        </w:rPr>
        <w:t>evaluation</w:t>
      </w:r>
      <w:r w:rsidR="00D60CAA">
        <w:rPr>
          <w:rFonts w:ascii="Arial" w:eastAsia="Times New Roman" w:hAnsi="Arial" w:cs="Arial"/>
          <w:color w:val="000000"/>
        </w:rPr>
        <w:t xml:space="preserve"> of applicants</w:t>
      </w:r>
      <w:r w:rsidRPr="00AA10E6">
        <w:rPr>
          <w:rFonts w:ascii="Arial" w:eastAsia="Times New Roman" w:hAnsi="Arial" w:cs="Arial"/>
          <w:color w:val="000000"/>
        </w:rPr>
        <w:t xml:space="preserve">. GEs </w:t>
      </w:r>
      <w:proofErr w:type="gramStart"/>
      <w:r w:rsidRPr="00AA10E6">
        <w:rPr>
          <w:rFonts w:ascii="Arial" w:eastAsia="Times New Roman" w:hAnsi="Arial" w:cs="Arial"/>
          <w:color w:val="000000"/>
        </w:rPr>
        <w:t>who</w:t>
      </w:r>
      <w:proofErr w:type="gramEnd"/>
      <w:r w:rsidRPr="00AA10E6">
        <w:rPr>
          <w:rFonts w:ascii="Arial" w:eastAsia="Times New Roman" w:hAnsi="Arial" w:cs="Arial"/>
          <w:color w:val="000000"/>
        </w:rPr>
        <w:t xml:space="preserve"> opted not to pursue the conduct of energy audit will be deemed disqualified.</w:t>
      </w:r>
    </w:p>
    <w:p w:rsidR="00361027" w:rsidRDefault="00361027" w:rsidP="00361027">
      <w:pPr>
        <w:spacing w:after="0" w:line="240" w:lineRule="auto"/>
        <w:jc w:val="both"/>
        <w:rPr>
          <w:rFonts w:ascii="Arial" w:eastAsia="Times New Roman" w:hAnsi="Arial" w:cs="Arial"/>
          <w:color w:val="000000"/>
        </w:rPr>
      </w:pPr>
    </w:p>
    <w:p w:rsidR="00361027" w:rsidRDefault="00361027" w:rsidP="00A45715">
      <w:pPr>
        <w:spacing w:after="0" w:line="240" w:lineRule="auto"/>
        <w:ind w:left="1080" w:hanging="360"/>
        <w:jc w:val="both"/>
        <w:rPr>
          <w:rFonts w:ascii="Arial" w:eastAsia="Times New Roman" w:hAnsi="Arial" w:cs="Arial"/>
          <w:color w:val="000000"/>
        </w:rPr>
      </w:pPr>
      <w:proofErr w:type="gramStart"/>
      <w:r w:rsidRPr="00BB7529">
        <w:rPr>
          <w:rFonts w:ascii="Arial" w:eastAsia="Times New Roman" w:hAnsi="Arial" w:cs="Arial"/>
          <w:color w:val="000000"/>
        </w:rPr>
        <w:t>c.5</w:t>
      </w:r>
      <w:proofErr w:type="gramEnd"/>
      <w:r w:rsidRPr="00BB7529">
        <w:rPr>
          <w:rFonts w:ascii="Arial" w:eastAsia="Times New Roman" w:hAnsi="Arial" w:cs="Arial"/>
          <w:color w:val="000000"/>
        </w:rPr>
        <w:t xml:space="preserve"> On the calculation of energy savings, the basis should be the 2015 baseline data against the 2020 actual consumption of electricity. In case there are renovations and expansion done by GEs, the computation will be based on the Specific Energy Consumption (SEC) of both the 2015 baseline year against the 2020 consumption with the gross floor area of the building as additional variable.</w:t>
      </w:r>
    </w:p>
    <w:p w:rsidR="00395FBF" w:rsidRPr="00AA10E6" w:rsidRDefault="00395FBF" w:rsidP="00A45715">
      <w:pPr>
        <w:spacing w:after="0" w:line="240" w:lineRule="auto"/>
        <w:ind w:left="1080" w:hanging="360"/>
        <w:jc w:val="both"/>
        <w:rPr>
          <w:rFonts w:ascii="Arial" w:eastAsia="Times New Roman" w:hAnsi="Arial" w:cs="Arial"/>
          <w:color w:val="000000"/>
        </w:rPr>
      </w:pPr>
    </w:p>
    <w:p w:rsidR="00D60CAA" w:rsidRPr="00395FBF" w:rsidRDefault="00D60CAA" w:rsidP="007F31FC">
      <w:pPr>
        <w:spacing w:after="0" w:line="240" w:lineRule="auto"/>
        <w:ind w:left="1080" w:hanging="360"/>
        <w:jc w:val="both"/>
        <w:rPr>
          <w:rFonts w:ascii="Arial" w:eastAsia="Times New Roman" w:hAnsi="Arial" w:cs="Arial"/>
          <w:color w:val="000000"/>
        </w:rPr>
      </w:pPr>
    </w:p>
    <w:p w:rsidR="00395FBF" w:rsidRPr="007F322F" w:rsidRDefault="00395FBF" w:rsidP="007F322F">
      <w:pPr>
        <w:pStyle w:val="ListParagraph"/>
        <w:numPr>
          <w:ilvl w:val="0"/>
          <w:numId w:val="29"/>
        </w:numPr>
        <w:spacing w:after="0" w:line="240" w:lineRule="auto"/>
        <w:jc w:val="both"/>
        <w:rPr>
          <w:rFonts w:ascii="Arial" w:eastAsia="Times New Roman" w:hAnsi="Arial" w:cs="Arial"/>
          <w:b/>
          <w:color w:val="000000"/>
        </w:rPr>
      </w:pPr>
      <w:r w:rsidRPr="007F322F">
        <w:rPr>
          <w:rFonts w:ascii="Arial" w:hAnsi="Arial" w:cs="Arial"/>
          <w:b/>
        </w:rPr>
        <w:t>EVALUATION CRITERIA AND WEIGHTED DISTRIBUTION FOR ENERGY EFFICIENCY EXCELLENCE AWARDS FOR GOVERNMENT</w:t>
      </w:r>
    </w:p>
    <w:p w:rsidR="00395FBF" w:rsidRDefault="00395FBF" w:rsidP="00395FBF">
      <w:pPr>
        <w:pStyle w:val="NoSpacing"/>
        <w:rPr>
          <w:rFonts w:cs="Arial"/>
        </w:rPr>
      </w:pPr>
    </w:p>
    <w:p w:rsidR="00395FBF" w:rsidRDefault="00395FBF" w:rsidP="00395FBF">
      <w:pPr>
        <w:pStyle w:val="NoSpacing"/>
        <w:rPr>
          <w:rFonts w:cs="Arial"/>
        </w:rPr>
      </w:pPr>
    </w:p>
    <w:p w:rsidR="00395FBF" w:rsidRDefault="00395FBF" w:rsidP="00395FBF">
      <w:pPr>
        <w:pStyle w:val="NoSpacing"/>
        <w:rPr>
          <w:rFonts w:cs="Arial"/>
        </w:rPr>
      </w:pPr>
    </w:p>
    <w:tbl>
      <w:tblPr>
        <w:tblStyle w:val="TableGrid"/>
        <w:tblW w:w="8914" w:type="dxa"/>
        <w:tblInd w:w="720" w:type="dxa"/>
        <w:tblLook w:val="04A0" w:firstRow="1" w:lastRow="0" w:firstColumn="1" w:lastColumn="0" w:noHBand="0" w:noVBand="1"/>
      </w:tblPr>
      <w:tblGrid>
        <w:gridCol w:w="5796"/>
        <w:gridCol w:w="3118"/>
      </w:tblGrid>
      <w:tr w:rsidR="00395FBF" w:rsidTr="00217D0C">
        <w:tc>
          <w:tcPr>
            <w:tcW w:w="5796" w:type="dxa"/>
          </w:tcPr>
          <w:p w:rsidR="00395FBF" w:rsidRPr="00CB0185" w:rsidRDefault="00395FBF" w:rsidP="00217D0C">
            <w:pPr>
              <w:pStyle w:val="NoSpacing"/>
              <w:jc w:val="center"/>
              <w:rPr>
                <w:rFonts w:cs="Arial"/>
                <w:b/>
              </w:rPr>
            </w:pPr>
            <w:r>
              <w:rPr>
                <w:rFonts w:cs="Arial"/>
                <w:b/>
              </w:rPr>
              <w:t>CRITERIA</w:t>
            </w:r>
          </w:p>
        </w:tc>
        <w:tc>
          <w:tcPr>
            <w:tcW w:w="3118" w:type="dxa"/>
          </w:tcPr>
          <w:p w:rsidR="00395FBF" w:rsidRPr="00CB0185" w:rsidRDefault="00395FBF" w:rsidP="00217D0C">
            <w:pPr>
              <w:pStyle w:val="NoSpacing"/>
              <w:jc w:val="center"/>
              <w:rPr>
                <w:rFonts w:cs="Arial"/>
                <w:b/>
              </w:rPr>
            </w:pPr>
            <w:r>
              <w:rPr>
                <w:rFonts w:cs="Arial"/>
                <w:b/>
              </w:rPr>
              <w:t>Points</w:t>
            </w:r>
          </w:p>
        </w:tc>
      </w:tr>
      <w:tr w:rsidR="00395FBF" w:rsidTr="00217D0C">
        <w:tc>
          <w:tcPr>
            <w:tcW w:w="5796" w:type="dxa"/>
          </w:tcPr>
          <w:p w:rsidR="00395FBF" w:rsidRPr="00E2549A" w:rsidRDefault="008B7666" w:rsidP="008B7666">
            <w:pPr>
              <w:pStyle w:val="NoSpacing"/>
              <w:rPr>
                <w:rFonts w:cs="Arial"/>
                <w:b/>
                <w:color w:val="FF0000"/>
                <w:u w:val="single"/>
              </w:rPr>
            </w:pPr>
            <w:r>
              <w:rPr>
                <w:rFonts w:cs="Arial"/>
                <w:b/>
                <w:color w:val="FF0000"/>
                <w:u w:val="single"/>
              </w:rPr>
              <w:t>Part I. GEMP Rating (2</w:t>
            </w:r>
            <w:r w:rsidR="00C944CA">
              <w:rPr>
                <w:rFonts w:cs="Arial"/>
                <w:b/>
                <w:color w:val="FF0000"/>
                <w:u w:val="single"/>
              </w:rPr>
              <w:t>0</w:t>
            </w:r>
            <w:r>
              <w:rPr>
                <w:rFonts w:cs="Arial"/>
                <w:b/>
                <w:color w:val="FF0000"/>
                <w:u w:val="single"/>
              </w:rPr>
              <w:t>%)</w:t>
            </w:r>
          </w:p>
          <w:p w:rsidR="00991589" w:rsidRDefault="00991589" w:rsidP="00E2549A">
            <w:pPr>
              <w:pStyle w:val="NoSpacing"/>
              <w:rPr>
                <w:rFonts w:cs="Arial"/>
                <w:b/>
                <w:i/>
              </w:rPr>
            </w:pPr>
          </w:p>
          <w:p w:rsidR="00C947D6" w:rsidRPr="00991589" w:rsidRDefault="00C947D6" w:rsidP="00991589">
            <w:pPr>
              <w:pStyle w:val="NoSpacing"/>
              <w:rPr>
                <w:rFonts w:cs="Arial"/>
                <w:u w:val="single"/>
              </w:rPr>
            </w:pPr>
          </w:p>
          <w:p w:rsidR="00395FBF" w:rsidRPr="009F0E67" w:rsidRDefault="00395FBF" w:rsidP="00217D0C">
            <w:pPr>
              <w:pStyle w:val="NoSpacing"/>
              <w:numPr>
                <w:ilvl w:val="0"/>
                <w:numId w:val="15"/>
              </w:numPr>
              <w:rPr>
                <w:rFonts w:cs="Arial"/>
                <w:u w:val="single"/>
              </w:rPr>
            </w:pPr>
            <w:r>
              <w:rPr>
                <w:rFonts w:cs="Arial"/>
              </w:rPr>
              <w:t xml:space="preserve">GEMP Energy </w:t>
            </w:r>
            <w:r w:rsidRPr="00333ADF">
              <w:rPr>
                <w:rFonts w:cs="Arial"/>
              </w:rPr>
              <w:t xml:space="preserve">Audit Rating </w:t>
            </w:r>
          </w:p>
          <w:p w:rsidR="00395FBF" w:rsidRDefault="00395FBF" w:rsidP="00217D0C">
            <w:pPr>
              <w:pStyle w:val="NoSpacing"/>
              <w:ind w:left="360"/>
              <w:rPr>
                <w:rFonts w:cs="Arial"/>
              </w:rPr>
            </w:pPr>
          </w:p>
          <w:p w:rsidR="00395FBF" w:rsidRDefault="00395FBF" w:rsidP="00217D0C">
            <w:pPr>
              <w:pStyle w:val="NoSpacing"/>
              <w:ind w:left="360"/>
              <w:rPr>
                <w:rFonts w:cs="Arial"/>
              </w:rPr>
            </w:pPr>
          </w:p>
          <w:p w:rsidR="00395FBF" w:rsidRDefault="00395FBF" w:rsidP="008B7666">
            <w:pPr>
              <w:pStyle w:val="NoSpacing"/>
              <w:rPr>
                <w:rFonts w:cs="Arial"/>
              </w:rPr>
            </w:pPr>
          </w:p>
          <w:p w:rsidR="008B7666" w:rsidRPr="00AB544F" w:rsidRDefault="008B7666" w:rsidP="008B7666">
            <w:pPr>
              <w:pStyle w:val="NoSpacing"/>
              <w:rPr>
                <w:rFonts w:cs="Arial"/>
                <w:b/>
                <w:color w:val="FF0000"/>
                <w:u w:val="single"/>
              </w:rPr>
            </w:pPr>
            <w:r w:rsidRPr="00AB544F">
              <w:rPr>
                <w:rFonts w:cs="Arial"/>
                <w:b/>
                <w:color w:val="FF0000"/>
                <w:u w:val="single"/>
              </w:rPr>
              <w:t>Part II. Best Practices</w:t>
            </w:r>
            <w:r w:rsidR="00B154EE">
              <w:rPr>
                <w:rFonts w:cs="Arial"/>
                <w:b/>
                <w:color w:val="FF0000"/>
                <w:u w:val="single"/>
              </w:rPr>
              <w:t xml:space="preserve"> (35</w:t>
            </w:r>
            <w:r w:rsidRPr="00AB544F">
              <w:rPr>
                <w:rFonts w:cs="Arial"/>
                <w:b/>
                <w:color w:val="FF0000"/>
                <w:u w:val="single"/>
              </w:rPr>
              <w:t>%)</w:t>
            </w:r>
          </w:p>
          <w:p w:rsidR="00BD3D3E" w:rsidRPr="009F0E67" w:rsidRDefault="00BD3D3E" w:rsidP="00E2549A">
            <w:pPr>
              <w:pStyle w:val="NoSpacing"/>
              <w:rPr>
                <w:rFonts w:cs="Arial"/>
              </w:rPr>
            </w:pPr>
          </w:p>
          <w:p w:rsidR="00395FBF" w:rsidRPr="00364D32" w:rsidRDefault="00395FBF" w:rsidP="00217D0C">
            <w:pPr>
              <w:pStyle w:val="NoSpacing"/>
              <w:numPr>
                <w:ilvl w:val="0"/>
                <w:numId w:val="15"/>
              </w:numPr>
              <w:rPr>
                <w:rFonts w:cs="Arial"/>
                <w:b/>
              </w:rPr>
            </w:pPr>
            <w:r>
              <w:rPr>
                <w:rFonts w:cs="Arial"/>
              </w:rPr>
              <w:t xml:space="preserve">Best Practices for Electricity Conservation </w:t>
            </w:r>
            <w:r w:rsidR="00B154EE">
              <w:rPr>
                <w:rFonts w:cs="Arial"/>
              </w:rPr>
              <w:t>(30%)</w:t>
            </w:r>
          </w:p>
          <w:p w:rsidR="00364D32" w:rsidRPr="004015BB" w:rsidRDefault="00364D32" w:rsidP="00364D32">
            <w:pPr>
              <w:pStyle w:val="NoSpacing"/>
              <w:ind w:left="360"/>
              <w:rPr>
                <w:rFonts w:cs="Arial"/>
                <w:b/>
              </w:rPr>
            </w:pPr>
          </w:p>
          <w:p w:rsidR="00E2549A" w:rsidRDefault="00031C04" w:rsidP="00685055">
            <w:pPr>
              <w:pStyle w:val="NoSpacing"/>
              <w:numPr>
                <w:ilvl w:val="1"/>
                <w:numId w:val="15"/>
              </w:numPr>
              <w:ind w:left="960" w:hanging="540"/>
              <w:rPr>
                <w:rFonts w:cs="Arial"/>
              </w:rPr>
            </w:pPr>
            <w:r>
              <w:rPr>
                <w:rFonts w:cs="Arial"/>
              </w:rPr>
              <w:t>Energ</w:t>
            </w:r>
            <w:r w:rsidR="00504F4F">
              <w:rPr>
                <w:rFonts w:cs="Arial"/>
              </w:rPr>
              <w:t>y Efficiency</w:t>
            </w:r>
            <w:r w:rsidR="00B154EE">
              <w:rPr>
                <w:rFonts w:cs="Arial"/>
              </w:rPr>
              <w:t xml:space="preserve"> Measures (with</w:t>
            </w:r>
            <w:r>
              <w:rPr>
                <w:rFonts w:cs="Arial"/>
              </w:rPr>
              <w:t xml:space="preserve"> investment cost</w:t>
            </w:r>
            <w:r w:rsidR="00E2549A">
              <w:rPr>
                <w:rFonts w:cs="Arial"/>
              </w:rPr>
              <w:t xml:space="preserve"> </w:t>
            </w:r>
            <w:r w:rsidR="00B154EE">
              <w:rPr>
                <w:rFonts w:cs="Arial"/>
              </w:rPr>
              <w:t xml:space="preserve">- </w:t>
            </w:r>
            <w:r w:rsidR="000E4345">
              <w:rPr>
                <w:rFonts w:cs="Arial"/>
              </w:rPr>
              <w:t>(</w:t>
            </w:r>
            <w:r w:rsidR="00B20719">
              <w:rPr>
                <w:rFonts w:cs="Arial"/>
              </w:rPr>
              <w:t>15</w:t>
            </w:r>
            <w:r w:rsidR="000E4345">
              <w:rPr>
                <w:rFonts w:cs="Arial"/>
              </w:rPr>
              <w:t>%)</w:t>
            </w:r>
          </w:p>
          <w:p w:rsidR="00B154EE" w:rsidRDefault="00B154EE" w:rsidP="00B154EE">
            <w:pPr>
              <w:pStyle w:val="NoSpacing"/>
              <w:ind w:left="960"/>
              <w:rPr>
                <w:rFonts w:cs="Arial"/>
              </w:rPr>
            </w:pPr>
          </w:p>
          <w:p w:rsidR="0084176B" w:rsidRDefault="0084176B" w:rsidP="00B154EE">
            <w:pPr>
              <w:pStyle w:val="NoSpacing"/>
              <w:ind w:left="960"/>
              <w:rPr>
                <w:rFonts w:cs="Arial"/>
              </w:rPr>
            </w:pPr>
          </w:p>
          <w:p w:rsidR="0084176B" w:rsidRDefault="0084176B" w:rsidP="00B154EE">
            <w:pPr>
              <w:pStyle w:val="NoSpacing"/>
              <w:ind w:left="960"/>
              <w:rPr>
                <w:rFonts w:cs="Arial"/>
              </w:rPr>
            </w:pPr>
          </w:p>
          <w:p w:rsidR="0084176B" w:rsidRDefault="0084176B" w:rsidP="00B154EE">
            <w:pPr>
              <w:pStyle w:val="NoSpacing"/>
              <w:ind w:left="960"/>
              <w:rPr>
                <w:rFonts w:cs="Arial"/>
              </w:rPr>
            </w:pPr>
          </w:p>
          <w:p w:rsidR="0084176B" w:rsidRDefault="0084176B" w:rsidP="00B154EE">
            <w:pPr>
              <w:pStyle w:val="NoSpacing"/>
              <w:ind w:left="960"/>
              <w:rPr>
                <w:rFonts w:cs="Arial"/>
              </w:rPr>
            </w:pPr>
          </w:p>
          <w:p w:rsidR="0084176B" w:rsidRDefault="0084176B" w:rsidP="00B154EE">
            <w:pPr>
              <w:pStyle w:val="NoSpacing"/>
              <w:ind w:left="960"/>
              <w:rPr>
                <w:rFonts w:cs="Arial"/>
              </w:rPr>
            </w:pPr>
          </w:p>
          <w:p w:rsidR="00B154EE" w:rsidRDefault="00B154EE" w:rsidP="00B154EE">
            <w:pPr>
              <w:pStyle w:val="NoSpacing"/>
              <w:ind w:left="960"/>
              <w:rPr>
                <w:rFonts w:cs="Arial"/>
              </w:rPr>
            </w:pPr>
          </w:p>
          <w:p w:rsidR="00B154EE" w:rsidRDefault="00B154EE" w:rsidP="00B154EE">
            <w:pPr>
              <w:pStyle w:val="NoSpacing"/>
              <w:ind w:left="960"/>
              <w:rPr>
                <w:rFonts w:cs="Arial"/>
              </w:rPr>
            </w:pPr>
          </w:p>
          <w:p w:rsidR="009F69ED" w:rsidRDefault="009F69ED" w:rsidP="00B154EE">
            <w:pPr>
              <w:pStyle w:val="NoSpacing"/>
              <w:ind w:left="960"/>
              <w:rPr>
                <w:rFonts w:cs="Arial"/>
              </w:rPr>
            </w:pPr>
          </w:p>
          <w:p w:rsidR="009F69ED" w:rsidRDefault="009F69ED" w:rsidP="00B154EE">
            <w:pPr>
              <w:pStyle w:val="NoSpacing"/>
              <w:ind w:left="960"/>
              <w:rPr>
                <w:rFonts w:cs="Arial"/>
              </w:rPr>
            </w:pPr>
          </w:p>
          <w:p w:rsidR="000E4345" w:rsidRPr="00685055" w:rsidRDefault="000E4345" w:rsidP="000E4345">
            <w:pPr>
              <w:pStyle w:val="NoSpacing"/>
              <w:ind w:left="960"/>
              <w:rPr>
                <w:rFonts w:cs="Arial"/>
              </w:rPr>
            </w:pPr>
          </w:p>
          <w:p w:rsidR="00031C04" w:rsidRPr="00364D32" w:rsidRDefault="00504F4F" w:rsidP="00217D0C">
            <w:pPr>
              <w:pStyle w:val="NoSpacing"/>
              <w:numPr>
                <w:ilvl w:val="1"/>
                <w:numId w:val="15"/>
              </w:numPr>
              <w:ind w:left="960" w:hanging="540"/>
              <w:rPr>
                <w:rFonts w:cs="Arial"/>
              </w:rPr>
            </w:pPr>
            <w:r>
              <w:rPr>
                <w:rFonts w:cs="Arial"/>
              </w:rPr>
              <w:t>Energy Conservation</w:t>
            </w:r>
            <w:r w:rsidR="00031C04">
              <w:rPr>
                <w:rFonts w:cs="Arial"/>
              </w:rPr>
              <w:t xml:space="preserve"> Measures (with</w:t>
            </w:r>
            <w:r w:rsidR="00B154EE">
              <w:rPr>
                <w:rFonts w:cs="Arial"/>
              </w:rPr>
              <w:t>out</w:t>
            </w:r>
            <w:r w:rsidR="00031C04">
              <w:rPr>
                <w:rFonts w:cs="Arial"/>
              </w:rPr>
              <w:t xml:space="preserve"> investment cost</w:t>
            </w:r>
            <w:r w:rsidR="00B154EE">
              <w:rPr>
                <w:rFonts w:cs="Arial"/>
              </w:rPr>
              <w:t xml:space="preserve">) </w:t>
            </w:r>
            <w:r w:rsidR="0084176B">
              <w:rPr>
                <w:rFonts w:cs="Arial"/>
              </w:rPr>
              <w:t>–</w:t>
            </w:r>
            <w:r w:rsidR="00B154EE">
              <w:rPr>
                <w:rFonts w:cs="Arial"/>
              </w:rPr>
              <w:t xml:space="preserve"> </w:t>
            </w:r>
            <w:r w:rsidR="0084176B">
              <w:rPr>
                <w:rFonts w:cs="Arial"/>
              </w:rPr>
              <w:t>(15%)</w:t>
            </w:r>
          </w:p>
          <w:p w:rsidR="00395FBF" w:rsidRDefault="00395FBF" w:rsidP="00BD3D3E">
            <w:pPr>
              <w:pStyle w:val="NoSpacing"/>
              <w:ind w:left="1050" w:hanging="720"/>
              <w:rPr>
                <w:rFonts w:cs="Arial"/>
              </w:rPr>
            </w:pPr>
          </w:p>
          <w:p w:rsidR="00395FBF" w:rsidRDefault="00395FBF" w:rsidP="00217D0C">
            <w:pPr>
              <w:pStyle w:val="NoSpacing"/>
              <w:ind w:left="862" w:hanging="425"/>
              <w:rPr>
                <w:rFonts w:cs="Arial"/>
              </w:rPr>
            </w:pPr>
          </w:p>
          <w:p w:rsidR="00E2549A" w:rsidRDefault="00E2549A" w:rsidP="00AB544F">
            <w:pPr>
              <w:pStyle w:val="NoSpacing"/>
              <w:rPr>
                <w:rFonts w:cs="Arial"/>
              </w:rPr>
            </w:pPr>
          </w:p>
          <w:p w:rsidR="00E2549A" w:rsidRDefault="00E2549A" w:rsidP="00217D0C">
            <w:pPr>
              <w:pStyle w:val="NoSpacing"/>
              <w:ind w:left="862" w:hanging="425"/>
              <w:rPr>
                <w:rFonts w:cs="Arial"/>
              </w:rPr>
            </w:pPr>
          </w:p>
          <w:p w:rsidR="00000E0F" w:rsidRDefault="00031C04" w:rsidP="00031C04">
            <w:pPr>
              <w:pStyle w:val="NoSpacing"/>
              <w:numPr>
                <w:ilvl w:val="0"/>
                <w:numId w:val="15"/>
              </w:numPr>
              <w:rPr>
                <w:rFonts w:cs="Arial"/>
              </w:rPr>
            </w:pPr>
            <w:r>
              <w:rPr>
                <w:rFonts w:cs="Arial"/>
              </w:rPr>
              <w:t>Best Practices for Fuel Conservation</w:t>
            </w:r>
            <w:r w:rsidR="000E4345">
              <w:rPr>
                <w:rFonts w:cs="Arial"/>
              </w:rPr>
              <w:t xml:space="preserve"> (</w:t>
            </w:r>
            <w:r w:rsidR="00B154EE">
              <w:rPr>
                <w:rFonts w:cs="Arial"/>
              </w:rPr>
              <w:t>5</w:t>
            </w:r>
            <w:r w:rsidR="000E4345">
              <w:rPr>
                <w:rFonts w:cs="Arial"/>
              </w:rPr>
              <w:t>%)</w:t>
            </w:r>
          </w:p>
          <w:p w:rsidR="00000E0F" w:rsidRDefault="00000E0F" w:rsidP="00BD3D3E">
            <w:pPr>
              <w:pStyle w:val="NoSpacing"/>
              <w:ind w:left="862" w:hanging="502"/>
              <w:rPr>
                <w:rFonts w:cs="Arial"/>
              </w:rPr>
            </w:pPr>
          </w:p>
          <w:p w:rsidR="00000E0F" w:rsidRPr="00E2549A" w:rsidRDefault="00031C04" w:rsidP="00031C04">
            <w:pPr>
              <w:pStyle w:val="NoSpacing"/>
              <w:numPr>
                <w:ilvl w:val="1"/>
                <w:numId w:val="15"/>
              </w:numPr>
              <w:ind w:left="981" w:hanging="567"/>
              <w:rPr>
                <w:rFonts w:cs="Arial"/>
              </w:rPr>
            </w:pPr>
            <w:r>
              <w:rPr>
                <w:rFonts w:cs="Arial"/>
              </w:rPr>
              <w:t>Energ</w:t>
            </w:r>
            <w:r w:rsidR="00504F4F">
              <w:rPr>
                <w:rFonts w:cs="Arial"/>
              </w:rPr>
              <w:t>y Efficiency</w:t>
            </w:r>
            <w:r w:rsidR="00411986">
              <w:rPr>
                <w:rFonts w:cs="Arial"/>
              </w:rPr>
              <w:t xml:space="preserve"> Measures (with</w:t>
            </w:r>
            <w:r>
              <w:rPr>
                <w:rFonts w:cs="Arial"/>
              </w:rPr>
              <w:t xml:space="preserve"> investment cost</w:t>
            </w:r>
            <w:r w:rsidRPr="00B20719">
              <w:rPr>
                <w:rFonts w:cs="Arial"/>
              </w:rPr>
              <w:t>)</w:t>
            </w:r>
            <w:r w:rsidR="00E2549A" w:rsidRPr="00B20719">
              <w:rPr>
                <w:rFonts w:cs="Arial"/>
              </w:rPr>
              <w:t xml:space="preserve"> </w:t>
            </w:r>
            <w:r w:rsidR="00B20719">
              <w:rPr>
                <w:rFonts w:cs="Arial"/>
              </w:rPr>
              <w:t xml:space="preserve">- </w:t>
            </w:r>
            <w:r w:rsidR="00B20719" w:rsidRPr="00B20719">
              <w:rPr>
                <w:rFonts w:cs="Arial"/>
                <w:i/>
              </w:rPr>
              <w:t>(3%</w:t>
            </w:r>
            <w:r w:rsidR="00E2549A" w:rsidRPr="00B20719">
              <w:rPr>
                <w:rFonts w:cs="Arial"/>
                <w:i/>
              </w:rPr>
              <w:t>)</w:t>
            </w:r>
          </w:p>
          <w:p w:rsidR="00E2549A" w:rsidRDefault="00E2549A" w:rsidP="00E2549A">
            <w:pPr>
              <w:pStyle w:val="NoSpacing"/>
              <w:ind w:left="981"/>
              <w:rPr>
                <w:rFonts w:cs="Arial"/>
              </w:rPr>
            </w:pPr>
          </w:p>
          <w:p w:rsidR="00B20719" w:rsidRDefault="00B20719" w:rsidP="00E2549A">
            <w:pPr>
              <w:pStyle w:val="NoSpacing"/>
              <w:ind w:left="981"/>
              <w:rPr>
                <w:rFonts w:cs="Arial"/>
              </w:rPr>
            </w:pPr>
          </w:p>
          <w:p w:rsidR="00B20719" w:rsidRDefault="00B20719" w:rsidP="00E2549A">
            <w:pPr>
              <w:pStyle w:val="NoSpacing"/>
              <w:ind w:left="981"/>
              <w:rPr>
                <w:rFonts w:cs="Arial"/>
              </w:rPr>
            </w:pPr>
          </w:p>
          <w:p w:rsidR="00B20719" w:rsidRDefault="00B20719" w:rsidP="00E2549A">
            <w:pPr>
              <w:pStyle w:val="NoSpacing"/>
              <w:ind w:left="981"/>
              <w:rPr>
                <w:rFonts w:cs="Arial"/>
              </w:rPr>
            </w:pPr>
          </w:p>
          <w:p w:rsidR="00B20719" w:rsidRDefault="00B20719" w:rsidP="00E2549A">
            <w:pPr>
              <w:pStyle w:val="NoSpacing"/>
              <w:ind w:left="981"/>
              <w:rPr>
                <w:rFonts w:cs="Arial"/>
              </w:rPr>
            </w:pPr>
          </w:p>
          <w:p w:rsidR="00B20719" w:rsidRDefault="00B20719" w:rsidP="00484404">
            <w:pPr>
              <w:pStyle w:val="NoSpacing"/>
              <w:rPr>
                <w:rFonts w:cs="Arial"/>
              </w:rPr>
            </w:pPr>
          </w:p>
          <w:p w:rsidR="00BF13C2" w:rsidRDefault="00BF13C2" w:rsidP="00BF13C2">
            <w:pPr>
              <w:pStyle w:val="NoSpacing"/>
              <w:ind w:left="981"/>
              <w:rPr>
                <w:rFonts w:cs="Arial"/>
              </w:rPr>
            </w:pPr>
          </w:p>
          <w:p w:rsidR="00BF13C2" w:rsidRDefault="00BF13C2" w:rsidP="00BF13C2">
            <w:pPr>
              <w:pStyle w:val="NoSpacing"/>
              <w:ind w:left="981"/>
              <w:rPr>
                <w:rFonts w:cs="Arial"/>
              </w:rPr>
            </w:pPr>
          </w:p>
          <w:p w:rsidR="009F69ED" w:rsidRDefault="009F69ED" w:rsidP="00BF13C2">
            <w:pPr>
              <w:pStyle w:val="NoSpacing"/>
              <w:ind w:left="981"/>
              <w:rPr>
                <w:rFonts w:cs="Arial"/>
              </w:rPr>
            </w:pPr>
          </w:p>
          <w:p w:rsidR="00BF13C2" w:rsidRDefault="00BF13C2" w:rsidP="00BF13C2">
            <w:pPr>
              <w:pStyle w:val="NoSpacing"/>
              <w:ind w:left="981"/>
              <w:rPr>
                <w:rFonts w:cs="Arial"/>
              </w:rPr>
            </w:pPr>
          </w:p>
          <w:p w:rsidR="00031C04" w:rsidRDefault="00504F4F" w:rsidP="00031C04">
            <w:pPr>
              <w:pStyle w:val="NoSpacing"/>
              <w:numPr>
                <w:ilvl w:val="1"/>
                <w:numId w:val="15"/>
              </w:numPr>
              <w:ind w:left="981" w:hanging="567"/>
              <w:rPr>
                <w:rFonts w:cs="Arial"/>
              </w:rPr>
            </w:pPr>
            <w:r>
              <w:rPr>
                <w:rFonts w:cs="Arial"/>
              </w:rPr>
              <w:t>Energy Conservation</w:t>
            </w:r>
            <w:r w:rsidR="00031C04">
              <w:rPr>
                <w:rFonts w:cs="Arial"/>
              </w:rPr>
              <w:t xml:space="preserve"> Measures (without investment cost</w:t>
            </w:r>
            <w:r w:rsidR="00031C04" w:rsidRPr="00B20719">
              <w:rPr>
                <w:rFonts w:cs="Arial"/>
              </w:rPr>
              <w:t>)</w:t>
            </w:r>
            <w:r w:rsidR="00E2549A" w:rsidRPr="00B20719">
              <w:rPr>
                <w:rFonts w:cs="Arial"/>
              </w:rPr>
              <w:t xml:space="preserve"> </w:t>
            </w:r>
            <w:r w:rsidR="00B20719">
              <w:rPr>
                <w:rFonts w:cs="Arial"/>
              </w:rPr>
              <w:t xml:space="preserve">- </w:t>
            </w:r>
            <w:r w:rsidR="00E2549A" w:rsidRPr="00B20719">
              <w:rPr>
                <w:rFonts w:cs="Arial"/>
              </w:rPr>
              <w:t>(</w:t>
            </w:r>
            <w:r w:rsidR="00B20719" w:rsidRPr="00B20719">
              <w:rPr>
                <w:rFonts w:cs="Arial"/>
                <w:i/>
              </w:rPr>
              <w:t>2%</w:t>
            </w:r>
            <w:r w:rsidR="00E2549A" w:rsidRPr="00B20719">
              <w:rPr>
                <w:rFonts w:cs="Arial"/>
                <w:i/>
              </w:rPr>
              <w:t>)</w:t>
            </w:r>
          </w:p>
        </w:tc>
        <w:tc>
          <w:tcPr>
            <w:tcW w:w="3118" w:type="dxa"/>
          </w:tcPr>
          <w:p w:rsidR="00395FBF" w:rsidRDefault="00395FBF" w:rsidP="00217D0C">
            <w:pPr>
              <w:pStyle w:val="NoSpacing"/>
              <w:rPr>
                <w:rFonts w:cs="Arial"/>
              </w:rPr>
            </w:pPr>
          </w:p>
          <w:p w:rsidR="00C947D6" w:rsidRDefault="00C947D6" w:rsidP="00217D0C">
            <w:pPr>
              <w:pStyle w:val="NoSpacing"/>
              <w:rPr>
                <w:rFonts w:cs="Arial"/>
              </w:rPr>
            </w:pPr>
          </w:p>
          <w:p w:rsidR="00395FBF" w:rsidRDefault="00991589" w:rsidP="00217D0C">
            <w:pPr>
              <w:pStyle w:val="NoSpacing"/>
              <w:rPr>
                <w:rFonts w:cs="Arial"/>
              </w:rPr>
            </w:pPr>
            <w:r>
              <w:rPr>
                <w:rFonts w:cs="Arial"/>
              </w:rPr>
              <w:t>20</w:t>
            </w:r>
            <w:r w:rsidR="00395FBF">
              <w:rPr>
                <w:rFonts w:cs="Arial"/>
              </w:rPr>
              <w:t xml:space="preserve">  – Grade A</w:t>
            </w:r>
          </w:p>
          <w:p w:rsidR="00395FBF" w:rsidRDefault="00395FBF" w:rsidP="00217D0C">
            <w:pPr>
              <w:pStyle w:val="NoSpacing"/>
              <w:rPr>
                <w:rFonts w:cs="Arial"/>
              </w:rPr>
            </w:pPr>
            <w:r>
              <w:rPr>
                <w:rFonts w:cs="Arial"/>
              </w:rPr>
              <w:t>15 – Grade B</w:t>
            </w:r>
          </w:p>
          <w:p w:rsidR="00395FBF" w:rsidRDefault="00395FBF" w:rsidP="00217D0C">
            <w:pPr>
              <w:pStyle w:val="NoSpacing"/>
              <w:rPr>
                <w:rFonts w:cs="Arial"/>
              </w:rPr>
            </w:pPr>
            <w:r>
              <w:rPr>
                <w:rFonts w:cs="Arial"/>
              </w:rPr>
              <w:t>10 – Grade C</w:t>
            </w:r>
          </w:p>
          <w:p w:rsidR="00BD3D3E" w:rsidRDefault="00E2549A" w:rsidP="00217D0C">
            <w:pPr>
              <w:pStyle w:val="NoSpacing"/>
              <w:rPr>
                <w:rFonts w:cs="Arial"/>
              </w:rPr>
            </w:pPr>
            <w:r>
              <w:rPr>
                <w:rFonts w:cs="Arial"/>
              </w:rPr>
              <w:t xml:space="preserve">0  – Grade </w:t>
            </w:r>
          </w:p>
          <w:p w:rsidR="00BD3D3E" w:rsidRDefault="00BD3D3E" w:rsidP="00217D0C">
            <w:pPr>
              <w:pStyle w:val="NoSpacing"/>
              <w:rPr>
                <w:rFonts w:cs="Arial"/>
              </w:rPr>
            </w:pPr>
          </w:p>
          <w:p w:rsidR="00031C04" w:rsidRDefault="00031C04" w:rsidP="00217D0C">
            <w:pPr>
              <w:pStyle w:val="NoSpacing"/>
              <w:rPr>
                <w:rFonts w:cs="Arial"/>
              </w:rPr>
            </w:pPr>
          </w:p>
          <w:p w:rsidR="00364D32" w:rsidRDefault="00364D32" w:rsidP="00217D0C">
            <w:pPr>
              <w:pStyle w:val="NoSpacing"/>
              <w:rPr>
                <w:rFonts w:cs="Arial"/>
              </w:rPr>
            </w:pPr>
          </w:p>
          <w:p w:rsidR="00E2549A" w:rsidRDefault="00E2549A" w:rsidP="00217D0C">
            <w:pPr>
              <w:pStyle w:val="NoSpacing"/>
              <w:rPr>
                <w:rFonts w:cs="Arial"/>
              </w:rPr>
            </w:pPr>
          </w:p>
          <w:p w:rsidR="00E2549A" w:rsidRDefault="00E2549A" w:rsidP="00217D0C">
            <w:pPr>
              <w:pStyle w:val="NoSpacing"/>
              <w:rPr>
                <w:rFonts w:cs="Arial"/>
              </w:rPr>
            </w:pPr>
          </w:p>
          <w:p w:rsidR="00A64C33" w:rsidRDefault="00A64C33" w:rsidP="00A64C33">
            <w:pPr>
              <w:pStyle w:val="NoSpacing"/>
              <w:rPr>
                <w:rFonts w:cs="Arial"/>
              </w:rPr>
            </w:pPr>
            <w:r>
              <w:rPr>
                <w:rFonts w:cs="Arial"/>
              </w:rPr>
              <w:t xml:space="preserve">15 – implemented covering 100% of the facility/building </w:t>
            </w:r>
          </w:p>
          <w:p w:rsidR="00A64C33" w:rsidRDefault="00A64C33" w:rsidP="00A64C33">
            <w:pPr>
              <w:pStyle w:val="NoSpacing"/>
              <w:rPr>
                <w:rFonts w:cs="Arial"/>
              </w:rPr>
            </w:pPr>
            <w:r>
              <w:rPr>
                <w:rFonts w:cs="Arial"/>
              </w:rPr>
              <w:t xml:space="preserve">10 -  implemented covering at least 80% of the facility/building </w:t>
            </w:r>
          </w:p>
          <w:p w:rsidR="00A64C33" w:rsidRDefault="00A64C33" w:rsidP="00A64C33">
            <w:pPr>
              <w:pStyle w:val="NoSpacing"/>
              <w:rPr>
                <w:rFonts w:cs="Arial"/>
              </w:rPr>
            </w:pPr>
            <w:r>
              <w:rPr>
                <w:rFonts w:cs="Arial"/>
              </w:rPr>
              <w:t xml:space="preserve">5 – implemented covering at </w:t>
            </w:r>
            <w:r>
              <w:rPr>
                <w:rFonts w:cs="Arial"/>
              </w:rPr>
              <w:lastRenderedPageBreak/>
              <w:t xml:space="preserve">least 50% of the facility/building </w:t>
            </w:r>
          </w:p>
          <w:p w:rsidR="00A64C33" w:rsidRDefault="00A64C33" w:rsidP="00A64C33">
            <w:pPr>
              <w:pStyle w:val="NoSpacing"/>
              <w:numPr>
                <w:ilvl w:val="0"/>
                <w:numId w:val="25"/>
              </w:numPr>
              <w:rPr>
                <w:rFonts w:cs="Arial"/>
              </w:rPr>
            </w:pPr>
            <w:r>
              <w:rPr>
                <w:rFonts w:cs="Arial"/>
              </w:rPr>
              <w:t xml:space="preserve">– implemented covering </w:t>
            </w:r>
          </w:p>
          <w:p w:rsidR="00A64C33" w:rsidRDefault="00A64C33" w:rsidP="00A64C33">
            <w:pPr>
              <w:pStyle w:val="NoSpacing"/>
              <w:rPr>
                <w:rFonts w:cs="Arial"/>
              </w:rPr>
            </w:pPr>
            <w:r>
              <w:rPr>
                <w:rFonts w:cs="Arial"/>
              </w:rPr>
              <w:t>less than 50% of the facility</w:t>
            </w:r>
          </w:p>
          <w:p w:rsidR="00A64C33" w:rsidRDefault="00A64C33" w:rsidP="00A64C33">
            <w:pPr>
              <w:pStyle w:val="NoSpacing"/>
              <w:rPr>
                <w:rFonts w:cs="Arial"/>
              </w:rPr>
            </w:pPr>
            <w:r>
              <w:rPr>
                <w:rFonts w:cs="Arial"/>
              </w:rPr>
              <w:t>0 – no investment</w:t>
            </w:r>
          </w:p>
          <w:p w:rsidR="00B154EE" w:rsidRDefault="00B154EE" w:rsidP="00217D0C">
            <w:pPr>
              <w:pStyle w:val="NoSpacing"/>
              <w:rPr>
                <w:rFonts w:cs="Arial"/>
              </w:rPr>
            </w:pPr>
          </w:p>
          <w:p w:rsidR="0084176B" w:rsidRDefault="0084176B" w:rsidP="00217D0C">
            <w:pPr>
              <w:pStyle w:val="NoSpacing"/>
              <w:rPr>
                <w:rFonts w:cs="Arial"/>
              </w:rPr>
            </w:pPr>
          </w:p>
          <w:p w:rsidR="00395FBF" w:rsidRDefault="0084176B" w:rsidP="00217D0C">
            <w:pPr>
              <w:pStyle w:val="NoSpacing"/>
              <w:rPr>
                <w:rFonts w:cs="Arial"/>
              </w:rPr>
            </w:pPr>
            <w:r>
              <w:rPr>
                <w:rFonts w:cs="Arial"/>
              </w:rPr>
              <w:t>15 –</w:t>
            </w:r>
            <w:r w:rsidR="008B7666">
              <w:rPr>
                <w:rFonts w:cs="Arial"/>
              </w:rPr>
              <w:t xml:space="preserve"> </w:t>
            </w:r>
            <w:r w:rsidR="00411986">
              <w:rPr>
                <w:rFonts w:cs="Arial"/>
              </w:rPr>
              <w:t xml:space="preserve"> (6- 10) </w:t>
            </w:r>
            <w:r w:rsidR="008B7666">
              <w:rPr>
                <w:rFonts w:cs="Arial"/>
              </w:rPr>
              <w:t>EEC measures</w:t>
            </w:r>
            <w:r>
              <w:rPr>
                <w:rFonts w:cs="Arial"/>
              </w:rPr>
              <w:t xml:space="preserve"> </w:t>
            </w:r>
          </w:p>
          <w:p w:rsidR="008B7666" w:rsidRDefault="00411986" w:rsidP="008B7666">
            <w:pPr>
              <w:pStyle w:val="NoSpacing"/>
              <w:rPr>
                <w:rFonts w:cs="Arial"/>
              </w:rPr>
            </w:pPr>
            <w:r>
              <w:rPr>
                <w:rFonts w:cs="Arial"/>
              </w:rPr>
              <w:t xml:space="preserve">10 – ( 3-5 )  EEC measures </w:t>
            </w:r>
          </w:p>
          <w:p w:rsidR="00411986" w:rsidRDefault="00411986" w:rsidP="008B7666">
            <w:pPr>
              <w:pStyle w:val="NoSpacing"/>
              <w:rPr>
                <w:rFonts w:cs="Arial"/>
              </w:rPr>
            </w:pPr>
            <w:r>
              <w:rPr>
                <w:rFonts w:cs="Arial"/>
              </w:rPr>
              <w:t>5 – (1-2) EEC measures</w:t>
            </w:r>
          </w:p>
          <w:p w:rsidR="00411986" w:rsidRDefault="00411986" w:rsidP="008B7666">
            <w:pPr>
              <w:pStyle w:val="NoSpacing"/>
              <w:rPr>
                <w:rFonts w:cs="Arial"/>
              </w:rPr>
            </w:pPr>
            <w:r>
              <w:rPr>
                <w:rFonts w:cs="Arial"/>
              </w:rPr>
              <w:t>0 – no EEC measures</w:t>
            </w:r>
          </w:p>
          <w:p w:rsidR="00E2549A" w:rsidRDefault="0084176B" w:rsidP="0084176B">
            <w:pPr>
              <w:pStyle w:val="NoSpacing"/>
              <w:rPr>
                <w:rFonts w:cs="Arial"/>
              </w:rPr>
            </w:pPr>
            <w:r>
              <w:rPr>
                <w:rFonts w:cs="Arial"/>
              </w:rPr>
              <w:t xml:space="preserve"> </w:t>
            </w:r>
          </w:p>
          <w:p w:rsidR="009F69ED" w:rsidRDefault="009F69ED" w:rsidP="0084176B">
            <w:pPr>
              <w:pStyle w:val="NoSpacing"/>
              <w:rPr>
                <w:rFonts w:cs="Arial"/>
              </w:rPr>
            </w:pPr>
          </w:p>
          <w:p w:rsidR="009F69ED" w:rsidRDefault="009F69ED" w:rsidP="0084176B">
            <w:pPr>
              <w:pStyle w:val="NoSpacing"/>
              <w:rPr>
                <w:rFonts w:cs="Arial"/>
              </w:rPr>
            </w:pPr>
          </w:p>
          <w:p w:rsidR="009F69ED" w:rsidRDefault="009F69ED" w:rsidP="0084176B">
            <w:pPr>
              <w:pStyle w:val="NoSpacing"/>
              <w:rPr>
                <w:rFonts w:cs="Arial"/>
              </w:rPr>
            </w:pPr>
          </w:p>
          <w:p w:rsidR="00A64C33" w:rsidRDefault="00A64C33" w:rsidP="00A64C33">
            <w:pPr>
              <w:pStyle w:val="NoSpacing"/>
              <w:rPr>
                <w:rFonts w:cs="Arial"/>
              </w:rPr>
            </w:pPr>
            <w:r>
              <w:rPr>
                <w:rFonts w:cs="Arial"/>
              </w:rPr>
              <w:t>15 – implemented covering 100% of total vehicles</w:t>
            </w:r>
          </w:p>
          <w:p w:rsidR="00A64C33" w:rsidRDefault="00A64C33" w:rsidP="00A64C33">
            <w:pPr>
              <w:pStyle w:val="NoSpacing"/>
              <w:rPr>
                <w:rFonts w:cs="Arial"/>
              </w:rPr>
            </w:pPr>
            <w:r>
              <w:rPr>
                <w:rFonts w:cs="Arial"/>
              </w:rPr>
              <w:t xml:space="preserve">10 -  implemented covering at least 80% of total vehicles </w:t>
            </w:r>
          </w:p>
          <w:p w:rsidR="00A64C33" w:rsidRDefault="00A64C33" w:rsidP="00A64C33">
            <w:pPr>
              <w:pStyle w:val="NoSpacing"/>
              <w:rPr>
                <w:rFonts w:cs="Arial"/>
              </w:rPr>
            </w:pPr>
            <w:r>
              <w:rPr>
                <w:rFonts w:cs="Arial"/>
              </w:rPr>
              <w:t>5 – implemented covering at least 50% of total vehicles</w:t>
            </w:r>
          </w:p>
          <w:p w:rsidR="00A64C33" w:rsidRDefault="00A64C33" w:rsidP="00A64C33">
            <w:pPr>
              <w:pStyle w:val="NoSpacing"/>
              <w:numPr>
                <w:ilvl w:val="0"/>
                <w:numId w:val="25"/>
              </w:numPr>
              <w:rPr>
                <w:rFonts w:cs="Arial"/>
              </w:rPr>
            </w:pPr>
            <w:r>
              <w:rPr>
                <w:rFonts w:cs="Arial"/>
              </w:rPr>
              <w:t>– implemented covering</w:t>
            </w:r>
          </w:p>
          <w:p w:rsidR="00A64C33" w:rsidRDefault="00A64C33" w:rsidP="00A64C33">
            <w:pPr>
              <w:pStyle w:val="NoSpacing"/>
              <w:rPr>
                <w:rFonts w:cs="Arial"/>
              </w:rPr>
            </w:pPr>
            <w:r>
              <w:rPr>
                <w:rFonts w:cs="Arial"/>
              </w:rPr>
              <w:t>less than 50% total vehicles</w:t>
            </w:r>
          </w:p>
          <w:p w:rsidR="00A64C33" w:rsidRDefault="00A64C33" w:rsidP="00A64C33">
            <w:pPr>
              <w:pStyle w:val="NoSpacing"/>
              <w:rPr>
                <w:rFonts w:cs="Arial"/>
              </w:rPr>
            </w:pPr>
            <w:r>
              <w:rPr>
                <w:rFonts w:cs="Arial"/>
              </w:rPr>
              <w:t>0 – no investment</w:t>
            </w:r>
          </w:p>
          <w:p w:rsidR="00B20719" w:rsidRDefault="00B20719" w:rsidP="008B7666">
            <w:pPr>
              <w:pStyle w:val="NoSpacing"/>
              <w:rPr>
                <w:rFonts w:cs="Arial"/>
              </w:rPr>
            </w:pPr>
          </w:p>
          <w:p w:rsidR="00B20719" w:rsidRDefault="00B20719" w:rsidP="008B7666">
            <w:pPr>
              <w:pStyle w:val="NoSpacing"/>
              <w:rPr>
                <w:rFonts w:cs="Arial"/>
              </w:rPr>
            </w:pPr>
          </w:p>
          <w:p w:rsidR="008B7666" w:rsidRDefault="00484404" w:rsidP="008B7666">
            <w:pPr>
              <w:pStyle w:val="NoSpacing"/>
              <w:rPr>
                <w:rFonts w:cs="Arial"/>
              </w:rPr>
            </w:pPr>
            <w:r>
              <w:rPr>
                <w:rFonts w:cs="Arial"/>
              </w:rPr>
              <w:t xml:space="preserve">2 </w:t>
            </w:r>
            <w:r w:rsidR="008B7666">
              <w:rPr>
                <w:rFonts w:cs="Arial"/>
              </w:rPr>
              <w:t>-with EEC measures</w:t>
            </w:r>
          </w:p>
          <w:p w:rsidR="008B7666" w:rsidRDefault="008B7666" w:rsidP="008B7666">
            <w:pPr>
              <w:pStyle w:val="NoSpacing"/>
              <w:rPr>
                <w:rFonts w:cs="Arial"/>
              </w:rPr>
            </w:pPr>
            <w:r>
              <w:rPr>
                <w:rFonts w:cs="Arial"/>
              </w:rPr>
              <w:t>0-without EEC measures</w:t>
            </w:r>
          </w:p>
          <w:p w:rsidR="008B7666" w:rsidRDefault="008B7666" w:rsidP="00217D0C">
            <w:pPr>
              <w:pStyle w:val="NoSpacing"/>
              <w:rPr>
                <w:rFonts w:cs="Arial"/>
              </w:rPr>
            </w:pPr>
          </w:p>
          <w:p w:rsidR="00217D0C" w:rsidRDefault="00217D0C" w:rsidP="00217D0C">
            <w:pPr>
              <w:pStyle w:val="NoSpacing"/>
              <w:rPr>
                <w:rFonts w:cs="Arial"/>
              </w:rPr>
            </w:pPr>
          </w:p>
          <w:p w:rsidR="00395FBF" w:rsidRDefault="00395FBF" w:rsidP="00364D32">
            <w:pPr>
              <w:pStyle w:val="NoSpacing"/>
              <w:rPr>
                <w:rFonts w:cs="Arial"/>
              </w:rPr>
            </w:pPr>
          </w:p>
        </w:tc>
      </w:tr>
      <w:tr w:rsidR="00E2549A" w:rsidTr="00217D0C">
        <w:tc>
          <w:tcPr>
            <w:tcW w:w="5796" w:type="dxa"/>
          </w:tcPr>
          <w:p w:rsidR="00E2549A" w:rsidRPr="008B7666" w:rsidRDefault="00C944CA" w:rsidP="008B7666">
            <w:pPr>
              <w:pStyle w:val="NoSpacing"/>
              <w:rPr>
                <w:rFonts w:cs="Arial"/>
                <w:b/>
                <w:color w:val="FF0000"/>
                <w:u w:val="single"/>
              </w:rPr>
            </w:pPr>
            <w:r>
              <w:rPr>
                <w:rFonts w:cs="Arial"/>
                <w:b/>
                <w:color w:val="FF0000"/>
                <w:u w:val="single"/>
              </w:rPr>
              <w:lastRenderedPageBreak/>
              <w:t>Part III. Energy Savings</w:t>
            </w:r>
            <w:r w:rsidR="00B154EE">
              <w:rPr>
                <w:rFonts w:cs="Arial"/>
                <w:b/>
                <w:color w:val="FF0000"/>
                <w:u w:val="single"/>
              </w:rPr>
              <w:t xml:space="preserve"> (40</w:t>
            </w:r>
            <w:r w:rsidR="008B7666">
              <w:rPr>
                <w:rFonts w:cs="Arial"/>
                <w:b/>
                <w:color w:val="FF0000"/>
                <w:u w:val="single"/>
              </w:rPr>
              <w:t>%)</w:t>
            </w:r>
          </w:p>
          <w:p w:rsidR="00E2549A" w:rsidRPr="00991589" w:rsidRDefault="00E2549A" w:rsidP="00E2549A">
            <w:pPr>
              <w:pStyle w:val="NoSpacing"/>
              <w:numPr>
                <w:ilvl w:val="0"/>
                <w:numId w:val="15"/>
              </w:numPr>
              <w:rPr>
                <w:rFonts w:cs="Arial"/>
              </w:rPr>
            </w:pPr>
            <w:r w:rsidRPr="00C947D6">
              <w:rPr>
                <w:rFonts w:cs="Arial"/>
              </w:rPr>
              <w:t>Energy Saving</w:t>
            </w:r>
            <w:r>
              <w:rPr>
                <w:rFonts w:cs="Arial"/>
              </w:rPr>
              <w:t xml:space="preserve"> </w:t>
            </w:r>
          </w:p>
          <w:p w:rsidR="00E2549A" w:rsidRPr="00C947D6" w:rsidRDefault="00E2549A" w:rsidP="00E2549A">
            <w:pPr>
              <w:pStyle w:val="NoSpacing"/>
              <w:ind w:left="360"/>
              <w:rPr>
                <w:rFonts w:cs="Arial"/>
              </w:rPr>
            </w:pPr>
          </w:p>
          <w:p w:rsidR="00E2549A" w:rsidRDefault="00E2549A" w:rsidP="00E2549A">
            <w:pPr>
              <w:pStyle w:val="NoSpacing"/>
              <w:numPr>
                <w:ilvl w:val="1"/>
                <w:numId w:val="15"/>
              </w:numPr>
              <w:ind w:left="690"/>
              <w:rPr>
                <w:rFonts w:cs="Arial"/>
                <w:b/>
                <w:i/>
              </w:rPr>
            </w:pPr>
            <w:r w:rsidRPr="00C947D6">
              <w:rPr>
                <w:rFonts w:cs="Arial"/>
              </w:rPr>
              <w:t>Total Electricity</w:t>
            </w:r>
            <w:r>
              <w:rPr>
                <w:rFonts w:cs="Arial"/>
              </w:rPr>
              <w:t xml:space="preserve"> Savings based on th</w:t>
            </w:r>
            <w:r w:rsidR="00C9371F">
              <w:rPr>
                <w:rFonts w:cs="Arial"/>
              </w:rPr>
              <w:t>e complete 2015 baseline data-</w:t>
            </w:r>
            <w:r>
              <w:rPr>
                <w:rFonts w:cs="Arial"/>
              </w:rPr>
              <w:t xml:space="preserve"> </w:t>
            </w:r>
            <w:r w:rsidR="00484404">
              <w:rPr>
                <w:rFonts w:cs="Arial"/>
                <w:i/>
              </w:rPr>
              <w:t>(35</w:t>
            </w:r>
            <w:r w:rsidRPr="00364D32">
              <w:rPr>
                <w:rFonts w:cs="Arial"/>
                <w:i/>
              </w:rPr>
              <w:t xml:space="preserve"> points)</w:t>
            </w:r>
          </w:p>
          <w:p w:rsidR="00E2549A" w:rsidRDefault="00E2549A" w:rsidP="00E2549A">
            <w:pPr>
              <w:pStyle w:val="NoSpacing"/>
              <w:ind w:left="690"/>
              <w:rPr>
                <w:rFonts w:cs="Arial"/>
                <w:b/>
                <w:i/>
              </w:rPr>
            </w:pPr>
          </w:p>
          <w:p w:rsidR="00E2549A" w:rsidRDefault="00E2549A" w:rsidP="00E2549A">
            <w:pPr>
              <w:pStyle w:val="NoSpacing"/>
              <w:ind w:left="690"/>
              <w:rPr>
                <w:rFonts w:cs="Arial"/>
                <w:b/>
                <w:i/>
              </w:rPr>
            </w:pPr>
          </w:p>
          <w:p w:rsidR="00C944CA" w:rsidRDefault="00C944CA" w:rsidP="00E2549A">
            <w:pPr>
              <w:pStyle w:val="NoSpacing"/>
              <w:ind w:left="690"/>
              <w:rPr>
                <w:rFonts w:cs="Arial"/>
                <w:b/>
                <w:i/>
              </w:rPr>
            </w:pPr>
          </w:p>
          <w:p w:rsidR="00E2549A" w:rsidRPr="00E2549A" w:rsidRDefault="00E2549A" w:rsidP="00E2549A">
            <w:pPr>
              <w:pStyle w:val="NoSpacing"/>
              <w:numPr>
                <w:ilvl w:val="1"/>
                <w:numId w:val="15"/>
              </w:numPr>
              <w:ind w:left="690"/>
              <w:rPr>
                <w:rFonts w:cs="Arial"/>
                <w:b/>
                <w:i/>
              </w:rPr>
            </w:pPr>
            <w:r>
              <w:rPr>
                <w:rFonts w:cs="Arial"/>
              </w:rPr>
              <w:t xml:space="preserve">Total Fuel Savings based on the complete </w:t>
            </w:r>
            <w:r w:rsidR="00C9371F">
              <w:rPr>
                <w:rFonts w:cs="Arial"/>
              </w:rPr>
              <w:t>2015 baseline data</w:t>
            </w:r>
            <w:r>
              <w:rPr>
                <w:rFonts w:cs="Arial"/>
              </w:rPr>
              <w:t xml:space="preserve">. </w:t>
            </w:r>
            <w:r w:rsidRPr="00364D32">
              <w:rPr>
                <w:rFonts w:cs="Arial"/>
                <w:i/>
              </w:rPr>
              <w:t>(5 points)</w:t>
            </w:r>
          </w:p>
          <w:p w:rsidR="00E2549A" w:rsidRDefault="00E2549A" w:rsidP="00E2549A">
            <w:pPr>
              <w:pStyle w:val="NoSpacing"/>
              <w:rPr>
                <w:rFonts w:cs="Arial"/>
                <w:b/>
                <w:color w:val="C00000"/>
                <w:u w:val="single"/>
              </w:rPr>
            </w:pPr>
          </w:p>
        </w:tc>
        <w:tc>
          <w:tcPr>
            <w:tcW w:w="3118" w:type="dxa"/>
          </w:tcPr>
          <w:p w:rsidR="00E2549A" w:rsidRDefault="00E2549A" w:rsidP="00E2549A">
            <w:pPr>
              <w:pStyle w:val="NoSpacing"/>
              <w:rPr>
                <w:rFonts w:cs="Arial"/>
              </w:rPr>
            </w:pPr>
          </w:p>
          <w:p w:rsidR="00AB544F" w:rsidRDefault="00AB544F" w:rsidP="00E2549A">
            <w:pPr>
              <w:pStyle w:val="NoSpacing"/>
              <w:rPr>
                <w:rFonts w:cs="Arial"/>
              </w:rPr>
            </w:pPr>
          </w:p>
          <w:p w:rsidR="00C944CA" w:rsidRDefault="00C944CA" w:rsidP="00E2549A">
            <w:pPr>
              <w:pStyle w:val="NoSpacing"/>
              <w:rPr>
                <w:rFonts w:cs="Arial"/>
              </w:rPr>
            </w:pPr>
          </w:p>
          <w:p w:rsidR="00E2549A" w:rsidRDefault="00C944CA" w:rsidP="00E2549A">
            <w:pPr>
              <w:pStyle w:val="NoSpacing"/>
              <w:rPr>
                <w:rFonts w:cs="Arial"/>
              </w:rPr>
            </w:pPr>
            <w:r>
              <w:rPr>
                <w:rFonts w:cs="Arial"/>
              </w:rPr>
              <w:t>35</w:t>
            </w:r>
            <w:r w:rsidR="00E2549A">
              <w:rPr>
                <w:rFonts w:cs="Arial"/>
              </w:rPr>
              <w:t xml:space="preserve"> – 10% above</w:t>
            </w:r>
          </w:p>
          <w:p w:rsidR="00E2549A" w:rsidRDefault="00C944CA" w:rsidP="00E2549A">
            <w:pPr>
              <w:pStyle w:val="NoSpacing"/>
              <w:rPr>
                <w:rFonts w:cs="Arial"/>
              </w:rPr>
            </w:pPr>
            <w:r>
              <w:rPr>
                <w:rFonts w:cs="Arial"/>
              </w:rPr>
              <w:t xml:space="preserve">20 </w:t>
            </w:r>
            <w:r w:rsidR="00E2549A">
              <w:rPr>
                <w:rFonts w:cs="Arial"/>
              </w:rPr>
              <w:t>-  5</w:t>
            </w:r>
            <w:r>
              <w:rPr>
                <w:rFonts w:cs="Arial"/>
              </w:rPr>
              <w:t>% to</w:t>
            </w:r>
            <w:r w:rsidR="00E2549A">
              <w:rPr>
                <w:rFonts w:cs="Arial"/>
              </w:rPr>
              <w:t xml:space="preserve"> 9%</w:t>
            </w:r>
          </w:p>
          <w:p w:rsidR="00E2549A" w:rsidRDefault="00C944CA" w:rsidP="00E2549A">
            <w:pPr>
              <w:pStyle w:val="NoSpacing"/>
              <w:rPr>
                <w:rFonts w:cs="Arial"/>
              </w:rPr>
            </w:pPr>
            <w:r>
              <w:rPr>
                <w:rFonts w:cs="Arial"/>
              </w:rPr>
              <w:t>10</w:t>
            </w:r>
            <w:r w:rsidR="00E2549A">
              <w:rPr>
                <w:rFonts w:cs="Arial"/>
              </w:rPr>
              <w:t xml:space="preserve"> -  1% to 4% </w:t>
            </w:r>
          </w:p>
          <w:p w:rsidR="00C944CA" w:rsidRDefault="00C944CA" w:rsidP="00E2549A">
            <w:pPr>
              <w:pStyle w:val="NoSpacing"/>
              <w:rPr>
                <w:rFonts w:cs="Arial"/>
              </w:rPr>
            </w:pPr>
            <w:r>
              <w:rPr>
                <w:rFonts w:cs="Arial"/>
              </w:rPr>
              <w:t>0 – no savings</w:t>
            </w:r>
          </w:p>
          <w:p w:rsidR="00E2549A" w:rsidRDefault="00E2549A" w:rsidP="00E2549A">
            <w:pPr>
              <w:pStyle w:val="NoSpacing"/>
              <w:rPr>
                <w:rFonts w:cs="Arial"/>
              </w:rPr>
            </w:pPr>
          </w:p>
          <w:p w:rsidR="00E2549A" w:rsidRDefault="00E2549A" w:rsidP="00E2549A">
            <w:pPr>
              <w:pStyle w:val="NoSpacing"/>
              <w:rPr>
                <w:rFonts w:cs="Arial"/>
              </w:rPr>
            </w:pPr>
            <w:r>
              <w:rPr>
                <w:rFonts w:cs="Arial"/>
              </w:rPr>
              <w:t>5 – 10% above</w:t>
            </w:r>
          </w:p>
          <w:p w:rsidR="00E2549A" w:rsidRDefault="00E2549A" w:rsidP="00E2549A">
            <w:pPr>
              <w:pStyle w:val="NoSpacing"/>
              <w:rPr>
                <w:rFonts w:cs="Arial"/>
              </w:rPr>
            </w:pPr>
            <w:r>
              <w:rPr>
                <w:rFonts w:cs="Arial"/>
              </w:rPr>
              <w:t>3 -  5%  to 9%</w:t>
            </w:r>
          </w:p>
          <w:p w:rsidR="00E2549A" w:rsidRDefault="00E2549A" w:rsidP="008B7666">
            <w:pPr>
              <w:pStyle w:val="NoSpacing"/>
              <w:numPr>
                <w:ilvl w:val="0"/>
                <w:numId w:val="25"/>
              </w:numPr>
              <w:rPr>
                <w:rFonts w:cs="Arial"/>
              </w:rPr>
            </w:pPr>
            <w:r>
              <w:rPr>
                <w:rFonts w:cs="Arial"/>
              </w:rPr>
              <w:t xml:space="preserve">-    1% to 4% </w:t>
            </w:r>
          </w:p>
          <w:p w:rsidR="00C944CA" w:rsidRDefault="00C944CA" w:rsidP="00C944CA">
            <w:pPr>
              <w:pStyle w:val="NoSpacing"/>
              <w:rPr>
                <w:rFonts w:cs="Arial"/>
              </w:rPr>
            </w:pPr>
            <w:r>
              <w:rPr>
                <w:rFonts w:cs="Arial"/>
              </w:rPr>
              <w:t>0 -  no savings</w:t>
            </w:r>
          </w:p>
          <w:p w:rsidR="00E2549A" w:rsidRDefault="00E2549A" w:rsidP="00E2549A">
            <w:pPr>
              <w:pStyle w:val="NoSpacing"/>
              <w:rPr>
                <w:rFonts w:cs="Arial"/>
              </w:rPr>
            </w:pPr>
          </w:p>
          <w:p w:rsidR="00E2549A" w:rsidRDefault="00E2549A" w:rsidP="00E2549A">
            <w:pPr>
              <w:pStyle w:val="NoSpacing"/>
              <w:rPr>
                <w:rFonts w:cs="Arial"/>
              </w:rPr>
            </w:pPr>
          </w:p>
        </w:tc>
      </w:tr>
      <w:tr w:rsidR="00217D0C" w:rsidTr="00217D0C">
        <w:tc>
          <w:tcPr>
            <w:tcW w:w="5796" w:type="dxa"/>
          </w:tcPr>
          <w:p w:rsidR="00217D0C" w:rsidRPr="008B7666" w:rsidRDefault="00217D0C" w:rsidP="008B7666">
            <w:pPr>
              <w:pStyle w:val="NoSpacing"/>
              <w:rPr>
                <w:rFonts w:cs="Arial"/>
                <w:b/>
                <w:color w:val="FF0000"/>
                <w:u w:val="single"/>
              </w:rPr>
            </w:pPr>
            <w:r w:rsidRPr="008B7666">
              <w:rPr>
                <w:rFonts w:cs="Arial"/>
                <w:b/>
                <w:color w:val="FF0000"/>
                <w:u w:val="single"/>
              </w:rPr>
              <w:t>Overall Presentation (5%)</w:t>
            </w:r>
          </w:p>
          <w:p w:rsidR="00217D0C" w:rsidRDefault="00217D0C" w:rsidP="00217D0C">
            <w:pPr>
              <w:pStyle w:val="NoSpacing"/>
              <w:ind w:left="720"/>
              <w:rPr>
                <w:rFonts w:cs="Arial"/>
              </w:rPr>
            </w:pPr>
            <w:r>
              <w:rPr>
                <w:rFonts w:cs="Arial"/>
              </w:rPr>
              <w:t>Adherence to the format</w:t>
            </w:r>
          </w:p>
          <w:p w:rsidR="00217D0C" w:rsidRDefault="00217D0C" w:rsidP="00217D0C">
            <w:pPr>
              <w:pStyle w:val="NoSpacing"/>
              <w:ind w:left="720"/>
              <w:rPr>
                <w:rFonts w:cs="Arial"/>
              </w:rPr>
            </w:pPr>
            <w:r>
              <w:rPr>
                <w:rFonts w:cs="Arial"/>
              </w:rPr>
              <w:t>Clearly scanned report with Table of Contents</w:t>
            </w:r>
          </w:p>
          <w:p w:rsidR="00217D0C" w:rsidRPr="00885D27" w:rsidRDefault="00217D0C" w:rsidP="00217D0C">
            <w:pPr>
              <w:pStyle w:val="NoSpacing"/>
              <w:ind w:left="720"/>
              <w:rPr>
                <w:rFonts w:cs="Arial"/>
              </w:rPr>
            </w:pPr>
            <w:r>
              <w:rPr>
                <w:rFonts w:cs="Arial"/>
              </w:rPr>
              <w:t>Attractive documents</w:t>
            </w:r>
          </w:p>
          <w:p w:rsidR="00217D0C" w:rsidRDefault="00217D0C" w:rsidP="00217D0C">
            <w:pPr>
              <w:pStyle w:val="NoSpacing"/>
              <w:rPr>
                <w:rFonts w:cs="Arial"/>
                <w:b/>
                <w:u w:val="single"/>
              </w:rPr>
            </w:pPr>
          </w:p>
          <w:p w:rsidR="00217D0C" w:rsidRDefault="00217D0C" w:rsidP="00217D0C">
            <w:pPr>
              <w:pStyle w:val="NoSpacing"/>
              <w:ind w:left="720"/>
              <w:rPr>
                <w:rFonts w:cs="Arial"/>
                <w:b/>
                <w:u w:val="single"/>
              </w:rPr>
            </w:pPr>
          </w:p>
        </w:tc>
        <w:tc>
          <w:tcPr>
            <w:tcW w:w="3118" w:type="dxa"/>
          </w:tcPr>
          <w:p w:rsidR="00C944CA" w:rsidRDefault="00C944CA" w:rsidP="00000E0F">
            <w:pPr>
              <w:pStyle w:val="NoSpacing"/>
              <w:rPr>
                <w:rFonts w:cs="Arial"/>
              </w:rPr>
            </w:pPr>
          </w:p>
          <w:p w:rsidR="00217D0C" w:rsidRDefault="00000E0F" w:rsidP="00000E0F">
            <w:pPr>
              <w:pStyle w:val="NoSpacing"/>
              <w:rPr>
                <w:rFonts w:cs="Arial"/>
              </w:rPr>
            </w:pPr>
            <w:r>
              <w:rPr>
                <w:rFonts w:cs="Arial"/>
              </w:rPr>
              <w:t>5</w:t>
            </w:r>
            <w:r w:rsidR="00217D0C">
              <w:rPr>
                <w:rFonts w:cs="Arial"/>
              </w:rPr>
              <w:t>– well - presented</w:t>
            </w:r>
          </w:p>
          <w:p w:rsidR="00217D0C" w:rsidRDefault="00C944CA" w:rsidP="00C944CA">
            <w:pPr>
              <w:pStyle w:val="NoSpacing"/>
              <w:jc w:val="left"/>
              <w:rPr>
                <w:rFonts w:cs="Arial"/>
              </w:rPr>
            </w:pPr>
            <w:r>
              <w:rPr>
                <w:rFonts w:cs="Arial"/>
              </w:rPr>
              <w:t xml:space="preserve">0 – Not consistent with the prescribed format </w:t>
            </w:r>
            <w:r w:rsidR="00217D0C">
              <w:rPr>
                <w:rFonts w:cs="Arial"/>
              </w:rPr>
              <w:t xml:space="preserve">and unsystematic </w:t>
            </w:r>
          </w:p>
        </w:tc>
      </w:tr>
    </w:tbl>
    <w:p w:rsidR="00A56F0F" w:rsidRDefault="00A56F0F" w:rsidP="00C3432F">
      <w:pPr>
        <w:spacing w:after="0" w:line="240" w:lineRule="auto"/>
        <w:jc w:val="both"/>
        <w:rPr>
          <w:rFonts w:ascii="Arial" w:eastAsia="Times New Roman" w:hAnsi="Arial" w:cs="Arial"/>
          <w:b/>
          <w:color w:val="000000"/>
        </w:rPr>
      </w:pPr>
    </w:p>
    <w:p w:rsidR="00A56F0F" w:rsidRDefault="00A56F0F" w:rsidP="00C3432F">
      <w:pPr>
        <w:spacing w:after="0" w:line="240" w:lineRule="auto"/>
        <w:jc w:val="both"/>
        <w:rPr>
          <w:rFonts w:ascii="Arial" w:eastAsia="Times New Roman" w:hAnsi="Arial" w:cs="Arial"/>
          <w:b/>
          <w:color w:val="000000"/>
        </w:rPr>
      </w:pPr>
    </w:p>
    <w:p w:rsidR="00A56F0F" w:rsidRPr="00807465" w:rsidRDefault="00A56F0F" w:rsidP="00C3432F">
      <w:pPr>
        <w:spacing w:after="0" w:line="240" w:lineRule="auto"/>
        <w:jc w:val="both"/>
        <w:rPr>
          <w:rFonts w:ascii="Arial" w:eastAsia="Times New Roman" w:hAnsi="Arial" w:cs="Arial"/>
          <w:b/>
          <w:color w:val="000000"/>
        </w:rPr>
      </w:pPr>
    </w:p>
    <w:p w:rsidR="00807465" w:rsidRPr="007F322F" w:rsidRDefault="00807465" w:rsidP="007F322F">
      <w:pPr>
        <w:pStyle w:val="ListParagraph"/>
        <w:numPr>
          <w:ilvl w:val="0"/>
          <w:numId w:val="29"/>
        </w:numPr>
        <w:spacing w:after="0" w:line="240" w:lineRule="auto"/>
        <w:jc w:val="both"/>
        <w:rPr>
          <w:rFonts w:ascii="Arial" w:eastAsia="Times New Roman" w:hAnsi="Arial" w:cs="Arial"/>
          <w:b/>
          <w:color w:val="000000"/>
        </w:rPr>
      </w:pPr>
      <w:r w:rsidRPr="007F322F">
        <w:rPr>
          <w:rFonts w:ascii="Arial" w:eastAsia="Times New Roman" w:hAnsi="Arial" w:cs="Arial"/>
          <w:b/>
          <w:color w:val="000000"/>
        </w:rPr>
        <w:t xml:space="preserve">SITE VERIFICATION ASSESSMENT </w:t>
      </w:r>
    </w:p>
    <w:p w:rsidR="00807465" w:rsidRDefault="00807465" w:rsidP="00C3432F">
      <w:pPr>
        <w:spacing w:after="0" w:line="240" w:lineRule="auto"/>
        <w:jc w:val="both"/>
        <w:rPr>
          <w:rFonts w:ascii="Arial" w:eastAsia="Times New Roman" w:hAnsi="Arial" w:cs="Arial"/>
          <w:b/>
          <w:color w:val="000000"/>
        </w:rPr>
      </w:pPr>
    </w:p>
    <w:p w:rsidR="00807465" w:rsidRDefault="002255B0" w:rsidP="002255B0">
      <w:pPr>
        <w:spacing w:after="0" w:line="240" w:lineRule="auto"/>
        <w:ind w:left="1080" w:hanging="360"/>
        <w:jc w:val="both"/>
        <w:rPr>
          <w:rFonts w:ascii="Arial" w:eastAsia="Times New Roman" w:hAnsi="Arial" w:cs="Arial"/>
          <w:color w:val="000000"/>
        </w:rPr>
      </w:pPr>
      <w:proofErr w:type="gramStart"/>
      <w:r>
        <w:rPr>
          <w:rFonts w:ascii="Arial" w:eastAsia="Times New Roman" w:hAnsi="Arial" w:cs="Arial"/>
          <w:color w:val="000000"/>
        </w:rPr>
        <w:t>e.1</w:t>
      </w:r>
      <w:proofErr w:type="gramEnd"/>
      <w:r>
        <w:rPr>
          <w:rFonts w:ascii="Arial" w:eastAsia="Times New Roman" w:hAnsi="Arial" w:cs="Arial"/>
          <w:color w:val="000000"/>
        </w:rPr>
        <w:t xml:space="preserve"> </w:t>
      </w:r>
      <w:r w:rsidR="00AA5F00">
        <w:rPr>
          <w:rFonts w:ascii="Arial" w:eastAsia="Times New Roman" w:hAnsi="Arial" w:cs="Arial"/>
          <w:color w:val="000000"/>
        </w:rPr>
        <w:t>To</w:t>
      </w:r>
      <w:r w:rsidR="000842C2" w:rsidRPr="00455BB1">
        <w:rPr>
          <w:rFonts w:ascii="Arial" w:eastAsia="Times New Roman" w:hAnsi="Arial" w:cs="Arial"/>
          <w:color w:val="000000"/>
        </w:rPr>
        <w:t xml:space="preserve">p </w:t>
      </w:r>
      <w:r w:rsidR="000842C2">
        <w:rPr>
          <w:rFonts w:ascii="Arial" w:eastAsia="Times New Roman" w:hAnsi="Arial" w:cs="Arial"/>
          <w:color w:val="000000"/>
        </w:rPr>
        <w:t>three (</w:t>
      </w:r>
      <w:r w:rsidR="000842C2" w:rsidRPr="00455BB1">
        <w:rPr>
          <w:rFonts w:ascii="Arial" w:eastAsia="Times New Roman" w:hAnsi="Arial" w:cs="Arial"/>
          <w:color w:val="000000"/>
        </w:rPr>
        <w:t>3</w:t>
      </w:r>
      <w:r w:rsidR="000842C2">
        <w:rPr>
          <w:rFonts w:ascii="Arial" w:eastAsia="Times New Roman" w:hAnsi="Arial" w:cs="Arial"/>
          <w:color w:val="000000"/>
        </w:rPr>
        <w:t>)</w:t>
      </w:r>
      <w:r w:rsidR="000842C2" w:rsidRPr="00455BB1">
        <w:rPr>
          <w:rFonts w:ascii="Arial" w:eastAsia="Times New Roman" w:hAnsi="Arial" w:cs="Arial"/>
          <w:color w:val="000000"/>
        </w:rPr>
        <w:t xml:space="preserve"> applicants who got the highest rating based on the criteri</w:t>
      </w:r>
      <w:r w:rsidR="000842C2">
        <w:rPr>
          <w:rFonts w:ascii="Arial" w:eastAsia="Times New Roman" w:hAnsi="Arial" w:cs="Arial"/>
          <w:color w:val="000000"/>
        </w:rPr>
        <w:t>a will be subjected for site</w:t>
      </w:r>
      <w:r w:rsidR="000842C2" w:rsidRPr="00455BB1">
        <w:rPr>
          <w:rFonts w:ascii="Arial" w:eastAsia="Times New Roman" w:hAnsi="Arial" w:cs="Arial"/>
          <w:color w:val="000000"/>
        </w:rPr>
        <w:t xml:space="preserve"> verification assessment by the DOE-EPSMD or through the DOE Field Offices</w:t>
      </w:r>
      <w:r w:rsidR="000842C2">
        <w:rPr>
          <w:rFonts w:ascii="Arial" w:eastAsia="Times New Roman" w:hAnsi="Arial" w:cs="Arial"/>
          <w:color w:val="000000"/>
        </w:rPr>
        <w:t>.</w:t>
      </w:r>
    </w:p>
    <w:p w:rsidR="002255B0" w:rsidRPr="00807465" w:rsidRDefault="002255B0" w:rsidP="002255B0">
      <w:pPr>
        <w:spacing w:after="0" w:line="240" w:lineRule="auto"/>
        <w:ind w:left="1080" w:hanging="360"/>
        <w:jc w:val="both"/>
        <w:rPr>
          <w:rFonts w:ascii="Arial" w:eastAsia="Times New Roman" w:hAnsi="Arial" w:cs="Arial"/>
          <w:b/>
          <w:color w:val="000000"/>
        </w:rPr>
      </w:pPr>
    </w:p>
    <w:p w:rsidR="002255B0" w:rsidRDefault="002255B0" w:rsidP="002255B0">
      <w:pPr>
        <w:spacing w:after="0" w:line="240" w:lineRule="auto"/>
        <w:ind w:left="1080" w:hanging="360"/>
        <w:jc w:val="both"/>
        <w:rPr>
          <w:rFonts w:ascii="Arial" w:eastAsia="Times New Roman" w:hAnsi="Arial" w:cs="Arial"/>
          <w:color w:val="000000"/>
        </w:rPr>
      </w:pPr>
      <w:proofErr w:type="gramStart"/>
      <w:r>
        <w:rPr>
          <w:rFonts w:ascii="Arial" w:eastAsia="Times New Roman" w:hAnsi="Arial" w:cs="Arial"/>
          <w:color w:val="000000"/>
        </w:rPr>
        <w:t>e.2</w:t>
      </w:r>
      <w:proofErr w:type="gramEnd"/>
      <w:r>
        <w:rPr>
          <w:rFonts w:ascii="Arial" w:eastAsia="Times New Roman" w:hAnsi="Arial" w:cs="Arial"/>
          <w:color w:val="000000"/>
        </w:rPr>
        <w:t xml:space="preserve"> </w:t>
      </w:r>
      <w:r w:rsidR="00AA5F00">
        <w:rPr>
          <w:rFonts w:ascii="Arial" w:eastAsia="Times New Roman" w:hAnsi="Arial" w:cs="Arial"/>
          <w:color w:val="000000"/>
        </w:rPr>
        <w:t>If th</w:t>
      </w:r>
      <w:r w:rsidRPr="00455BB1">
        <w:rPr>
          <w:rFonts w:ascii="Arial" w:eastAsia="Times New Roman" w:hAnsi="Arial" w:cs="Arial"/>
          <w:color w:val="000000"/>
        </w:rPr>
        <w:t>e potential winner was found to be unqualified as a result of the</w:t>
      </w:r>
      <w:r>
        <w:rPr>
          <w:rFonts w:ascii="Arial" w:eastAsia="Times New Roman" w:hAnsi="Arial" w:cs="Arial"/>
          <w:color w:val="000000"/>
        </w:rPr>
        <w:t xml:space="preserve"> site</w:t>
      </w:r>
      <w:r w:rsidRPr="00455BB1">
        <w:rPr>
          <w:rFonts w:ascii="Arial" w:eastAsia="Times New Roman" w:hAnsi="Arial" w:cs="Arial"/>
          <w:color w:val="000000"/>
        </w:rPr>
        <w:t xml:space="preserve"> verification assessment, GEs who ranked 4th, 5th or 6th will be given the chance to replace the potential winner </w:t>
      </w:r>
      <w:r>
        <w:rPr>
          <w:rFonts w:ascii="Arial" w:eastAsia="Times New Roman" w:hAnsi="Arial" w:cs="Arial"/>
          <w:color w:val="000000"/>
        </w:rPr>
        <w:t>subject to the result of the</w:t>
      </w:r>
      <w:r w:rsidRPr="00455BB1">
        <w:rPr>
          <w:rFonts w:ascii="Arial" w:eastAsia="Times New Roman" w:hAnsi="Arial" w:cs="Arial"/>
          <w:color w:val="000000"/>
        </w:rPr>
        <w:t xml:space="preserve"> same verification assessment</w:t>
      </w:r>
      <w:r>
        <w:rPr>
          <w:rFonts w:ascii="Arial" w:eastAsia="Times New Roman" w:hAnsi="Arial" w:cs="Arial"/>
          <w:color w:val="000000"/>
        </w:rPr>
        <w:t>.</w:t>
      </w:r>
    </w:p>
    <w:p w:rsidR="002255B0" w:rsidRPr="00AA10E6" w:rsidRDefault="002255B0" w:rsidP="002255B0">
      <w:pPr>
        <w:spacing w:after="0" w:line="240" w:lineRule="auto"/>
        <w:jc w:val="both"/>
        <w:rPr>
          <w:rFonts w:ascii="Arial" w:eastAsia="Times New Roman" w:hAnsi="Arial" w:cs="Arial"/>
          <w:color w:val="000000"/>
        </w:rPr>
      </w:pPr>
    </w:p>
    <w:p w:rsidR="00D60CAA" w:rsidRDefault="0054602B" w:rsidP="002255B0">
      <w:pPr>
        <w:spacing w:after="0" w:line="240" w:lineRule="auto"/>
        <w:ind w:left="1080" w:hanging="360"/>
        <w:jc w:val="both"/>
        <w:rPr>
          <w:rFonts w:ascii="Arial" w:eastAsia="Times New Roman" w:hAnsi="Arial" w:cs="Arial"/>
          <w:color w:val="000000"/>
        </w:rPr>
      </w:pPr>
      <w:proofErr w:type="gramStart"/>
      <w:r>
        <w:rPr>
          <w:rFonts w:ascii="Arial" w:eastAsia="Times New Roman" w:hAnsi="Arial" w:cs="Arial"/>
          <w:color w:val="000000"/>
        </w:rPr>
        <w:t>e.3</w:t>
      </w:r>
      <w:proofErr w:type="gramEnd"/>
      <w:r>
        <w:rPr>
          <w:rFonts w:ascii="Arial" w:eastAsia="Times New Roman" w:hAnsi="Arial" w:cs="Arial"/>
          <w:color w:val="000000"/>
        </w:rPr>
        <w:t>.</w:t>
      </w:r>
      <w:r w:rsidR="002255B0" w:rsidRPr="00455BB1">
        <w:rPr>
          <w:rFonts w:ascii="Arial" w:eastAsia="Times New Roman" w:hAnsi="Arial" w:cs="Arial"/>
          <w:color w:val="000000"/>
        </w:rPr>
        <w:t xml:space="preserve"> </w:t>
      </w:r>
      <w:r w:rsidR="00AA5F00">
        <w:rPr>
          <w:rFonts w:ascii="Arial" w:eastAsia="Times New Roman" w:hAnsi="Arial" w:cs="Arial"/>
          <w:color w:val="000000"/>
        </w:rPr>
        <w:t xml:space="preserve">In </w:t>
      </w:r>
      <w:r>
        <w:rPr>
          <w:rFonts w:ascii="Arial" w:eastAsia="Times New Roman" w:hAnsi="Arial" w:cs="Arial"/>
          <w:color w:val="000000"/>
        </w:rPr>
        <w:t>case of travel restrictions and site verification assessment is not possible, EPSMD will conduct a virtual assessment of the building.</w:t>
      </w:r>
    </w:p>
    <w:p w:rsidR="00C944CA" w:rsidRDefault="00C944CA" w:rsidP="00C3432F">
      <w:pPr>
        <w:spacing w:after="0" w:line="240" w:lineRule="auto"/>
        <w:jc w:val="both"/>
        <w:rPr>
          <w:rFonts w:ascii="Arial" w:eastAsia="Times New Roman" w:hAnsi="Arial" w:cs="Arial"/>
          <w:color w:val="000000"/>
        </w:rPr>
      </w:pPr>
    </w:p>
    <w:p w:rsidR="00D60CAA" w:rsidRPr="007F322F" w:rsidRDefault="00807465" w:rsidP="007F322F">
      <w:pPr>
        <w:pStyle w:val="ListParagraph"/>
        <w:numPr>
          <w:ilvl w:val="0"/>
          <w:numId w:val="29"/>
        </w:numPr>
        <w:spacing w:after="0" w:line="240" w:lineRule="auto"/>
        <w:jc w:val="both"/>
        <w:rPr>
          <w:rFonts w:ascii="Arial" w:eastAsia="Times New Roman" w:hAnsi="Arial" w:cs="Arial"/>
          <w:b/>
          <w:color w:val="000000"/>
        </w:rPr>
      </w:pPr>
      <w:r w:rsidRPr="007F322F">
        <w:rPr>
          <w:rFonts w:ascii="Arial" w:eastAsia="Times New Roman" w:hAnsi="Arial" w:cs="Arial"/>
          <w:b/>
          <w:color w:val="000000"/>
        </w:rPr>
        <w:t>RANKING</w:t>
      </w:r>
    </w:p>
    <w:p w:rsidR="00807465" w:rsidRDefault="00807465" w:rsidP="00C3432F">
      <w:pPr>
        <w:spacing w:after="0" w:line="240" w:lineRule="auto"/>
        <w:jc w:val="both"/>
        <w:rPr>
          <w:rFonts w:ascii="Arial" w:eastAsia="Times New Roman" w:hAnsi="Arial" w:cs="Arial"/>
          <w:b/>
          <w:color w:val="000000"/>
        </w:rPr>
      </w:pPr>
    </w:p>
    <w:p w:rsidR="0054602B" w:rsidRDefault="00807465" w:rsidP="00034976">
      <w:pPr>
        <w:spacing w:after="0" w:line="240" w:lineRule="auto"/>
        <w:ind w:left="1170"/>
        <w:jc w:val="both"/>
        <w:rPr>
          <w:rFonts w:ascii="Arial" w:eastAsia="Times New Roman" w:hAnsi="Arial" w:cs="Arial"/>
          <w:color w:val="000000"/>
        </w:rPr>
      </w:pPr>
      <w:r w:rsidRPr="00455BB1">
        <w:rPr>
          <w:rFonts w:ascii="Arial" w:eastAsia="Times New Roman" w:hAnsi="Arial" w:cs="Arial"/>
          <w:color w:val="000000"/>
        </w:rPr>
        <w:t>The</w:t>
      </w:r>
      <w:r w:rsidR="00034976">
        <w:rPr>
          <w:rFonts w:ascii="Arial" w:eastAsia="Times New Roman" w:hAnsi="Arial" w:cs="Arial"/>
          <w:color w:val="000000"/>
        </w:rPr>
        <w:t xml:space="preserve"> </w:t>
      </w:r>
      <w:r w:rsidRPr="00455BB1">
        <w:rPr>
          <w:rFonts w:ascii="Arial" w:eastAsia="Times New Roman" w:hAnsi="Arial" w:cs="Arial"/>
          <w:color w:val="000000"/>
        </w:rPr>
        <w:t xml:space="preserve">ranking of winners is necessary for the purpose of tie-breaking or once unqualified applicant has been determined upon the conduct of </w:t>
      </w:r>
      <w:r>
        <w:rPr>
          <w:rFonts w:ascii="Arial" w:eastAsia="Times New Roman" w:hAnsi="Arial" w:cs="Arial"/>
          <w:color w:val="000000"/>
        </w:rPr>
        <w:t xml:space="preserve">site </w:t>
      </w:r>
      <w:r w:rsidRPr="00455BB1">
        <w:rPr>
          <w:rFonts w:ascii="Arial" w:eastAsia="Times New Roman" w:hAnsi="Arial" w:cs="Arial"/>
          <w:color w:val="000000"/>
        </w:rPr>
        <w:t xml:space="preserve">verification assessment. </w:t>
      </w:r>
      <w:r>
        <w:rPr>
          <w:rFonts w:ascii="Arial" w:eastAsia="Times New Roman" w:hAnsi="Arial" w:cs="Arial"/>
          <w:color w:val="000000"/>
        </w:rPr>
        <w:t xml:space="preserve">The said </w:t>
      </w:r>
      <w:r w:rsidRPr="00455BB1">
        <w:rPr>
          <w:rFonts w:ascii="Arial" w:eastAsia="Times New Roman" w:hAnsi="Arial" w:cs="Arial"/>
          <w:color w:val="000000"/>
        </w:rPr>
        <w:t>ranking will be for DOE's reference only.</w:t>
      </w:r>
      <w:r>
        <w:rPr>
          <w:rFonts w:ascii="Arial" w:eastAsia="Times New Roman" w:hAnsi="Arial" w:cs="Arial"/>
          <w:color w:val="000000"/>
        </w:rPr>
        <w:t xml:space="preserve"> </w:t>
      </w:r>
    </w:p>
    <w:p w:rsidR="0054602B" w:rsidRDefault="0054602B" w:rsidP="0054602B">
      <w:pPr>
        <w:spacing w:after="0" w:line="240" w:lineRule="auto"/>
        <w:jc w:val="both"/>
        <w:rPr>
          <w:rFonts w:ascii="Arial" w:eastAsia="Times New Roman" w:hAnsi="Arial" w:cs="Arial"/>
          <w:color w:val="000000"/>
        </w:rPr>
      </w:pPr>
    </w:p>
    <w:p w:rsidR="0054602B" w:rsidRDefault="0054602B" w:rsidP="0054602B">
      <w:pPr>
        <w:spacing w:after="0" w:line="240" w:lineRule="auto"/>
        <w:jc w:val="both"/>
        <w:rPr>
          <w:rFonts w:ascii="Arial" w:eastAsia="Times New Roman" w:hAnsi="Arial" w:cs="Arial"/>
          <w:color w:val="000000"/>
        </w:rPr>
      </w:pPr>
    </w:p>
    <w:p w:rsidR="0054602B" w:rsidRPr="007F322F" w:rsidRDefault="0054602B" w:rsidP="007F322F">
      <w:pPr>
        <w:pStyle w:val="ListParagraph"/>
        <w:numPr>
          <w:ilvl w:val="0"/>
          <w:numId w:val="29"/>
        </w:numPr>
        <w:spacing w:after="0" w:line="240" w:lineRule="auto"/>
        <w:jc w:val="both"/>
        <w:rPr>
          <w:rFonts w:ascii="Arial" w:eastAsia="Times New Roman" w:hAnsi="Arial" w:cs="Arial"/>
          <w:b/>
          <w:color w:val="000000"/>
        </w:rPr>
      </w:pPr>
      <w:r w:rsidRPr="007F322F">
        <w:rPr>
          <w:rFonts w:ascii="Arial" w:eastAsia="Times New Roman" w:hAnsi="Arial" w:cs="Arial"/>
          <w:b/>
          <w:color w:val="000000"/>
        </w:rPr>
        <w:t>A</w:t>
      </w:r>
      <w:r w:rsidR="00034976" w:rsidRPr="007F322F">
        <w:rPr>
          <w:rFonts w:ascii="Arial" w:eastAsia="Times New Roman" w:hAnsi="Arial" w:cs="Arial"/>
          <w:b/>
          <w:color w:val="000000"/>
        </w:rPr>
        <w:t>NNOUNCEMENT OF WINNER</w:t>
      </w:r>
      <w:r w:rsidR="00B63211" w:rsidRPr="007F322F">
        <w:rPr>
          <w:rFonts w:ascii="Arial" w:eastAsia="Times New Roman" w:hAnsi="Arial" w:cs="Arial"/>
          <w:b/>
          <w:color w:val="000000"/>
        </w:rPr>
        <w:t>S</w:t>
      </w:r>
    </w:p>
    <w:p w:rsidR="0054602B" w:rsidRDefault="0054602B" w:rsidP="003A5A6E">
      <w:pPr>
        <w:spacing w:after="0" w:line="240" w:lineRule="auto"/>
        <w:jc w:val="both"/>
        <w:rPr>
          <w:rFonts w:ascii="Arial" w:eastAsia="Times New Roman" w:hAnsi="Arial" w:cs="Arial"/>
          <w:color w:val="000000"/>
        </w:rPr>
      </w:pPr>
    </w:p>
    <w:p w:rsidR="00B21B4F" w:rsidRPr="00B21B4F" w:rsidRDefault="003A5A6E" w:rsidP="00B21B4F">
      <w:pPr>
        <w:spacing w:after="0" w:line="240" w:lineRule="auto"/>
        <w:ind w:left="1170" w:hanging="450"/>
        <w:jc w:val="both"/>
        <w:rPr>
          <w:rFonts w:ascii="Arial" w:eastAsia="Times New Roman" w:hAnsi="Arial" w:cs="Arial"/>
          <w:color w:val="000000"/>
        </w:rPr>
      </w:pPr>
      <w:proofErr w:type="gramStart"/>
      <w:r>
        <w:rPr>
          <w:rFonts w:ascii="Arial" w:eastAsia="Times New Roman" w:hAnsi="Arial" w:cs="Arial"/>
          <w:color w:val="000000"/>
        </w:rPr>
        <w:t>g.1</w:t>
      </w:r>
      <w:proofErr w:type="gramEnd"/>
      <w:r>
        <w:rPr>
          <w:rFonts w:ascii="Arial" w:eastAsia="Times New Roman" w:hAnsi="Arial" w:cs="Arial"/>
          <w:color w:val="000000"/>
        </w:rPr>
        <w:t xml:space="preserve"> </w:t>
      </w:r>
      <w:r w:rsidR="005D448B" w:rsidRPr="007D2CC8">
        <w:rPr>
          <w:rFonts w:ascii="Arial" w:eastAsia="Times New Roman" w:hAnsi="Arial" w:cs="Arial"/>
          <w:color w:val="000000" w:themeColor="text1"/>
        </w:rPr>
        <w:t>EP</w:t>
      </w:r>
      <w:r w:rsidRPr="007D2CC8">
        <w:rPr>
          <w:rFonts w:ascii="Arial" w:eastAsia="Times New Roman" w:hAnsi="Arial" w:cs="Arial"/>
          <w:color w:val="000000" w:themeColor="text1"/>
        </w:rPr>
        <w:t>M</w:t>
      </w:r>
      <w:r w:rsidR="005E519C" w:rsidRPr="007D2CC8">
        <w:rPr>
          <w:rFonts w:ascii="Arial" w:eastAsia="Times New Roman" w:hAnsi="Arial" w:cs="Arial"/>
          <w:color w:val="000000" w:themeColor="text1"/>
        </w:rPr>
        <w:t>P</w:t>
      </w:r>
      <w:r w:rsidRPr="007D2CC8">
        <w:rPr>
          <w:rFonts w:ascii="Arial" w:eastAsia="Times New Roman" w:hAnsi="Arial" w:cs="Arial"/>
          <w:color w:val="000000" w:themeColor="text1"/>
        </w:rPr>
        <w:t>D</w:t>
      </w:r>
      <w:r>
        <w:rPr>
          <w:rFonts w:ascii="Arial" w:eastAsia="Times New Roman" w:hAnsi="Arial" w:cs="Arial"/>
          <w:color w:val="000000"/>
        </w:rPr>
        <w:t xml:space="preserve"> will provide the result of the evaluation process and endorsed the top </w:t>
      </w:r>
      <w:r w:rsidR="00DC17A7">
        <w:rPr>
          <w:rFonts w:ascii="Arial" w:eastAsia="Times New Roman" w:hAnsi="Arial" w:cs="Arial"/>
          <w:color w:val="000000"/>
        </w:rPr>
        <w:t>three (</w:t>
      </w:r>
      <w:r>
        <w:rPr>
          <w:rFonts w:ascii="Arial" w:eastAsia="Times New Roman" w:hAnsi="Arial" w:cs="Arial"/>
          <w:color w:val="000000"/>
        </w:rPr>
        <w:t>3</w:t>
      </w:r>
      <w:r w:rsidR="00DC17A7">
        <w:rPr>
          <w:rFonts w:ascii="Arial" w:eastAsia="Times New Roman" w:hAnsi="Arial" w:cs="Arial"/>
          <w:color w:val="000000"/>
        </w:rPr>
        <w:t>)</w:t>
      </w:r>
      <w:r>
        <w:rPr>
          <w:rFonts w:ascii="Arial" w:eastAsia="Times New Roman" w:hAnsi="Arial" w:cs="Arial"/>
          <w:color w:val="000000"/>
        </w:rPr>
        <w:t xml:space="preserve"> EE</w:t>
      </w:r>
      <w:r w:rsidR="00DC17A7">
        <w:rPr>
          <w:rFonts w:ascii="Arial" w:eastAsia="Times New Roman" w:hAnsi="Arial" w:cs="Arial"/>
          <w:color w:val="000000"/>
        </w:rPr>
        <w:t>E</w:t>
      </w:r>
      <w:r>
        <w:rPr>
          <w:rFonts w:ascii="Arial" w:eastAsia="Times New Roman" w:hAnsi="Arial" w:cs="Arial"/>
          <w:color w:val="000000"/>
        </w:rPr>
        <w:t xml:space="preserve"> Awardees to EUMB-OD for each category of GEs for approval.</w:t>
      </w:r>
    </w:p>
    <w:p w:rsidR="00B21B4F" w:rsidRDefault="00B21B4F" w:rsidP="00B21B4F">
      <w:pPr>
        <w:pStyle w:val="NoSpacing"/>
        <w:rPr>
          <w:rFonts w:cs="Arial"/>
        </w:rPr>
      </w:pPr>
    </w:p>
    <w:p w:rsidR="00B21B4F" w:rsidRDefault="00B21B4F" w:rsidP="00B21B4F">
      <w:pPr>
        <w:pStyle w:val="NoSpacing"/>
        <w:ind w:left="1170" w:hanging="450"/>
        <w:rPr>
          <w:rFonts w:cs="Arial"/>
        </w:rPr>
      </w:pPr>
      <w:r>
        <w:rPr>
          <w:rFonts w:cs="Arial"/>
        </w:rPr>
        <w:t>g. 2 EUMB-EPSMD will notify the awardees on the schedule of awarding ceremony once the judgement is completed</w:t>
      </w:r>
    </w:p>
    <w:p w:rsidR="0054602B" w:rsidRDefault="0054602B" w:rsidP="00B21B4F">
      <w:pPr>
        <w:spacing w:after="0" w:line="240" w:lineRule="auto"/>
        <w:jc w:val="both"/>
        <w:rPr>
          <w:rFonts w:ascii="Arial" w:eastAsia="Times New Roman" w:hAnsi="Arial" w:cs="Arial"/>
          <w:color w:val="000000"/>
        </w:rPr>
      </w:pPr>
    </w:p>
    <w:p w:rsidR="003A5A6E" w:rsidRDefault="003A5A6E" w:rsidP="003A5A6E">
      <w:pPr>
        <w:spacing w:after="0" w:line="240" w:lineRule="auto"/>
        <w:ind w:left="1170" w:hanging="450"/>
        <w:jc w:val="both"/>
        <w:rPr>
          <w:rFonts w:ascii="Arial" w:eastAsia="Times New Roman" w:hAnsi="Arial" w:cs="Arial"/>
          <w:color w:val="000000"/>
        </w:rPr>
      </w:pPr>
      <w:proofErr w:type="gramStart"/>
      <w:r>
        <w:rPr>
          <w:rFonts w:ascii="Arial" w:eastAsia="Times New Roman" w:hAnsi="Arial" w:cs="Arial"/>
          <w:color w:val="000000"/>
        </w:rPr>
        <w:t>g.2</w:t>
      </w:r>
      <w:proofErr w:type="gramEnd"/>
      <w:r>
        <w:rPr>
          <w:rFonts w:ascii="Arial" w:eastAsia="Times New Roman" w:hAnsi="Arial" w:cs="Arial"/>
          <w:color w:val="000000"/>
        </w:rPr>
        <w:t xml:space="preserve"> </w:t>
      </w:r>
      <w:r w:rsidR="005D448B">
        <w:rPr>
          <w:rFonts w:ascii="Arial" w:eastAsia="Times New Roman" w:hAnsi="Arial" w:cs="Arial"/>
          <w:color w:val="000000"/>
        </w:rPr>
        <w:t>Th</w:t>
      </w:r>
      <w:r w:rsidR="00DB274B">
        <w:rPr>
          <w:rFonts w:ascii="Arial" w:eastAsia="Times New Roman" w:hAnsi="Arial" w:cs="Arial"/>
          <w:color w:val="000000"/>
        </w:rPr>
        <w:t>e</w:t>
      </w:r>
      <w:r w:rsidR="0054602B" w:rsidRPr="00455BB1">
        <w:rPr>
          <w:rFonts w:ascii="Arial" w:eastAsia="Times New Roman" w:hAnsi="Arial" w:cs="Arial"/>
          <w:color w:val="000000"/>
        </w:rPr>
        <w:t xml:space="preserve"> EEC Officers of the GE awardee will be automat</w:t>
      </w:r>
      <w:r w:rsidR="00DC17A7">
        <w:rPr>
          <w:rFonts w:ascii="Arial" w:eastAsia="Times New Roman" w:hAnsi="Arial" w:cs="Arial"/>
          <w:color w:val="000000"/>
        </w:rPr>
        <w:t xml:space="preserve">ically recognized during the EEE </w:t>
      </w:r>
      <w:r w:rsidR="0054602B" w:rsidRPr="00455BB1">
        <w:rPr>
          <w:rFonts w:ascii="Arial" w:eastAsia="Times New Roman" w:hAnsi="Arial" w:cs="Arial"/>
          <w:color w:val="000000"/>
        </w:rPr>
        <w:t>Awards to give credit for their valuable efforts and contributions to the GEMP implementation.</w:t>
      </w:r>
      <w:bookmarkStart w:id="0" w:name="_GoBack"/>
      <w:bookmarkEnd w:id="0"/>
    </w:p>
    <w:p w:rsidR="005D448B" w:rsidRDefault="005D448B" w:rsidP="003A5A6E">
      <w:pPr>
        <w:spacing w:after="0" w:line="240" w:lineRule="auto"/>
        <w:ind w:left="1170" w:hanging="450"/>
        <w:jc w:val="both"/>
        <w:rPr>
          <w:rFonts w:ascii="Arial" w:eastAsia="Times New Roman" w:hAnsi="Arial" w:cs="Arial"/>
          <w:color w:val="000000"/>
        </w:rPr>
      </w:pPr>
    </w:p>
    <w:p w:rsidR="003A5A6E" w:rsidRDefault="003A5A6E" w:rsidP="003A5A6E">
      <w:pPr>
        <w:spacing w:after="0" w:line="240" w:lineRule="auto"/>
        <w:ind w:left="1170" w:hanging="450"/>
        <w:jc w:val="both"/>
        <w:rPr>
          <w:rFonts w:ascii="Arial" w:eastAsia="Times New Roman" w:hAnsi="Arial" w:cs="Arial"/>
          <w:color w:val="000000"/>
        </w:rPr>
      </w:pPr>
      <w:proofErr w:type="gramStart"/>
      <w:r>
        <w:rPr>
          <w:rFonts w:ascii="Arial" w:eastAsia="Times New Roman" w:hAnsi="Arial" w:cs="Arial"/>
          <w:color w:val="000000"/>
        </w:rPr>
        <w:t>g.3</w:t>
      </w:r>
      <w:proofErr w:type="gramEnd"/>
      <w:r>
        <w:rPr>
          <w:rFonts w:ascii="Arial" w:eastAsia="Times New Roman" w:hAnsi="Arial" w:cs="Arial"/>
          <w:color w:val="000000"/>
        </w:rPr>
        <w:t xml:space="preserve"> </w:t>
      </w:r>
      <w:r w:rsidRPr="00455BB1">
        <w:rPr>
          <w:rFonts w:ascii="Arial" w:eastAsia="Times New Roman" w:hAnsi="Arial" w:cs="Arial"/>
          <w:color w:val="000000"/>
        </w:rPr>
        <w:t>The EE</w:t>
      </w:r>
      <w:r w:rsidR="00DC17A7">
        <w:rPr>
          <w:rFonts w:ascii="Arial" w:eastAsia="Times New Roman" w:hAnsi="Arial" w:cs="Arial"/>
          <w:color w:val="000000"/>
        </w:rPr>
        <w:t>E</w:t>
      </w:r>
      <w:r w:rsidRPr="00455BB1">
        <w:rPr>
          <w:rFonts w:ascii="Arial" w:eastAsia="Times New Roman" w:hAnsi="Arial" w:cs="Arial"/>
          <w:color w:val="000000"/>
        </w:rPr>
        <w:t xml:space="preserve"> Awardees for GEs will be announced in no particular order</w:t>
      </w:r>
      <w:r>
        <w:rPr>
          <w:rFonts w:ascii="Arial" w:eastAsia="Times New Roman" w:hAnsi="Arial" w:cs="Arial"/>
          <w:color w:val="000000"/>
        </w:rPr>
        <w:t>.</w:t>
      </w:r>
    </w:p>
    <w:p w:rsidR="003028C8" w:rsidRDefault="003028C8" w:rsidP="003A5A6E">
      <w:pPr>
        <w:spacing w:after="0" w:line="240" w:lineRule="auto"/>
        <w:ind w:left="1170" w:hanging="450"/>
        <w:jc w:val="both"/>
        <w:rPr>
          <w:rFonts w:ascii="Arial" w:eastAsia="Times New Roman" w:hAnsi="Arial" w:cs="Arial"/>
          <w:color w:val="000000"/>
        </w:rPr>
      </w:pPr>
    </w:p>
    <w:p w:rsidR="003028C8" w:rsidRPr="007F322F" w:rsidRDefault="003028C8" w:rsidP="007F322F">
      <w:pPr>
        <w:pStyle w:val="ListParagraph"/>
        <w:numPr>
          <w:ilvl w:val="0"/>
          <w:numId w:val="29"/>
        </w:numPr>
        <w:spacing w:after="0" w:line="240" w:lineRule="auto"/>
        <w:jc w:val="both"/>
        <w:rPr>
          <w:rFonts w:ascii="Arial" w:eastAsia="Times New Roman" w:hAnsi="Arial" w:cs="Arial"/>
          <w:b/>
        </w:rPr>
      </w:pPr>
      <w:r w:rsidRPr="007F322F">
        <w:rPr>
          <w:rFonts w:ascii="Arial" w:eastAsia="Times New Roman" w:hAnsi="Arial" w:cs="Arial"/>
          <w:b/>
        </w:rPr>
        <w:t>HALL OF FAME AWARD</w:t>
      </w:r>
    </w:p>
    <w:p w:rsidR="003028C8" w:rsidRPr="003028C8" w:rsidRDefault="003028C8" w:rsidP="003028C8">
      <w:pPr>
        <w:pStyle w:val="ListParagraph"/>
        <w:spacing w:after="0" w:line="240" w:lineRule="auto"/>
        <w:ind w:left="360"/>
        <w:jc w:val="both"/>
        <w:rPr>
          <w:rFonts w:ascii="Arial" w:eastAsia="Times New Roman" w:hAnsi="Arial" w:cs="Arial"/>
          <w:color w:val="000000"/>
        </w:rPr>
      </w:pPr>
    </w:p>
    <w:p w:rsidR="003028C8" w:rsidRDefault="003028C8" w:rsidP="003A5A6E">
      <w:pPr>
        <w:spacing w:after="0" w:line="240" w:lineRule="auto"/>
        <w:ind w:left="1170" w:hanging="450"/>
        <w:jc w:val="both"/>
        <w:rPr>
          <w:rFonts w:ascii="Arial" w:eastAsia="Times New Roman" w:hAnsi="Arial" w:cs="Arial"/>
          <w:color w:val="000000"/>
        </w:rPr>
      </w:pPr>
      <w:proofErr w:type="gramStart"/>
      <w:r>
        <w:rPr>
          <w:rFonts w:ascii="Arial" w:eastAsia="Times New Roman" w:hAnsi="Arial" w:cs="Arial"/>
          <w:color w:val="000000"/>
        </w:rPr>
        <w:t>h.1</w:t>
      </w:r>
      <w:proofErr w:type="gramEnd"/>
      <w:r>
        <w:rPr>
          <w:rFonts w:ascii="Arial" w:eastAsia="Times New Roman" w:hAnsi="Arial" w:cs="Arial"/>
          <w:color w:val="000000"/>
        </w:rPr>
        <w:t xml:space="preserve"> GEs</w:t>
      </w:r>
      <w:r w:rsidR="003A5A6E" w:rsidRPr="00455BB1">
        <w:rPr>
          <w:rFonts w:ascii="Arial" w:eastAsia="Times New Roman" w:hAnsi="Arial" w:cs="Arial"/>
          <w:color w:val="000000"/>
        </w:rPr>
        <w:t xml:space="preserve"> who received an EE</w:t>
      </w:r>
      <w:r w:rsidR="00DC17A7">
        <w:rPr>
          <w:rFonts w:ascii="Arial" w:eastAsia="Times New Roman" w:hAnsi="Arial" w:cs="Arial"/>
          <w:color w:val="000000"/>
        </w:rPr>
        <w:t>E</w:t>
      </w:r>
      <w:r w:rsidR="003A5A6E" w:rsidRPr="00455BB1">
        <w:rPr>
          <w:rFonts w:ascii="Arial" w:eastAsia="Times New Roman" w:hAnsi="Arial" w:cs="Arial"/>
          <w:color w:val="000000"/>
        </w:rPr>
        <w:t xml:space="preserve"> Awards for three </w:t>
      </w:r>
      <w:r>
        <w:rPr>
          <w:rFonts w:ascii="Arial" w:eastAsia="Times New Roman" w:hAnsi="Arial" w:cs="Arial"/>
          <w:color w:val="000000"/>
        </w:rPr>
        <w:t xml:space="preserve">(3) </w:t>
      </w:r>
      <w:r w:rsidR="003A5A6E" w:rsidRPr="00455BB1">
        <w:rPr>
          <w:rFonts w:ascii="Arial" w:eastAsia="Times New Roman" w:hAnsi="Arial" w:cs="Arial"/>
          <w:color w:val="000000"/>
        </w:rPr>
        <w:t xml:space="preserve">consecutive years will automatically receive a </w:t>
      </w:r>
      <w:r w:rsidR="003A5A6E">
        <w:rPr>
          <w:rFonts w:ascii="Arial" w:eastAsia="Times New Roman" w:hAnsi="Arial" w:cs="Arial"/>
          <w:color w:val="000000"/>
        </w:rPr>
        <w:t>“Hall of Fame</w:t>
      </w:r>
      <w:r w:rsidR="003A5A6E" w:rsidRPr="00455BB1">
        <w:rPr>
          <w:rFonts w:ascii="Arial" w:eastAsia="Times New Roman" w:hAnsi="Arial" w:cs="Arial"/>
          <w:color w:val="000000"/>
        </w:rPr>
        <w:t xml:space="preserve"> Award</w:t>
      </w:r>
      <w:r w:rsidR="003A5A6E">
        <w:rPr>
          <w:rFonts w:ascii="Arial" w:eastAsia="Times New Roman" w:hAnsi="Arial" w:cs="Arial"/>
          <w:color w:val="000000"/>
        </w:rPr>
        <w:t>”, the highest award a GE could receive. The “Hall of Famer” w</w:t>
      </w:r>
      <w:r w:rsidR="003A5A6E" w:rsidRPr="00455BB1">
        <w:rPr>
          <w:rFonts w:ascii="Arial" w:eastAsia="Times New Roman" w:hAnsi="Arial" w:cs="Arial"/>
          <w:color w:val="000000"/>
        </w:rPr>
        <w:t>ill no longer be qualified for EE Awards for the succeeding years</w:t>
      </w:r>
      <w:r w:rsidR="003A5A6E">
        <w:rPr>
          <w:rFonts w:ascii="Arial" w:eastAsia="Times New Roman" w:hAnsi="Arial" w:cs="Arial"/>
          <w:color w:val="000000"/>
        </w:rPr>
        <w:t xml:space="preserve"> but will be recognized annually during the EE Awarding Ceremony.</w:t>
      </w:r>
      <w:r>
        <w:rPr>
          <w:rFonts w:ascii="Arial" w:eastAsia="Times New Roman" w:hAnsi="Arial" w:cs="Arial"/>
          <w:color w:val="000000"/>
        </w:rPr>
        <w:t xml:space="preserve"> </w:t>
      </w:r>
    </w:p>
    <w:p w:rsidR="003028C8" w:rsidRDefault="003028C8" w:rsidP="003A5A6E">
      <w:pPr>
        <w:spacing w:after="0" w:line="240" w:lineRule="auto"/>
        <w:ind w:left="1170" w:hanging="450"/>
        <w:jc w:val="both"/>
        <w:rPr>
          <w:rFonts w:ascii="Arial" w:eastAsia="Times New Roman" w:hAnsi="Arial" w:cs="Arial"/>
          <w:color w:val="000000"/>
        </w:rPr>
      </w:pPr>
    </w:p>
    <w:p w:rsidR="003A5A6E" w:rsidRDefault="003028C8" w:rsidP="003A5A6E">
      <w:pPr>
        <w:spacing w:after="0" w:line="240" w:lineRule="auto"/>
        <w:ind w:left="1170" w:hanging="450"/>
        <w:jc w:val="both"/>
        <w:rPr>
          <w:rFonts w:ascii="Arial" w:eastAsia="Times New Roman" w:hAnsi="Arial" w:cs="Arial"/>
          <w:color w:val="000000"/>
        </w:rPr>
      </w:pPr>
      <w:proofErr w:type="gramStart"/>
      <w:r>
        <w:rPr>
          <w:rFonts w:ascii="Arial" w:eastAsia="Times New Roman" w:hAnsi="Arial" w:cs="Arial"/>
          <w:color w:val="000000"/>
        </w:rPr>
        <w:t>h.2</w:t>
      </w:r>
      <w:proofErr w:type="gramEnd"/>
      <w:r>
        <w:rPr>
          <w:rFonts w:ascii="Arial" w:eastAsia="Times New Roman" w:hAnsi="Arial" w:cs="Arial"/>
          <w:color w:val="000000"/>
        </w:rPr>
        <w:t xml:space="preserve"> The Hall of Fame awardees will be</w:t>
      </w:r>
      <w:r w:rsidR="007D2CC8">
        <w:rPr>
          <w:rFonts w:ascii="Arial" w:eastAsia="Times New Roman" w:hAnsi="Arial" w:cs="Arial"/>
          <w:color w:val="000000"/>
        </w:rPr>
        <w:t xml:space="preserve"> assessed every 3 years</w:t>
      </w:r>
      <w:r>
        <w:rPr>
          <w:rFonts w:ascii="Arial" w:eastAsia="Times New Roman" w:hAnsi="Arial" w:cs="Arial"/>
          <w:color w:val="000000"/>
        </w:rPr>
        <w:t xml:space="preserve"> </w:t>
      </w:r>
      <w:r w:rsidR="007D2CC8">
        <w:rPr>
          <w:rFonts w:ascii="Arial" w:eastAsia="Times New Roman" w:hAnsi="Arial" w:cs="Arial"/>
          <w:color w:val="000000"/>
        </w:rPr>
        <w:t>to ensure tha</w:t>
      </w:r>
      <w:r w:rsidR="006F7A9C">
        <w:rPr>
          <w:rFonts w:ascii="Arial" w:eastAsia="Times New Roman" w:hAnsi="Arial" w:cs="Arial"/>
          <w:color w:val="000000"/>
        </w:rPr>
        <w:t>t they still deserve to hold the</w:t>
      </w:r>
      <w:r w:rsidR="007D2CC8">
        <w:rPr>
          <w:rFonts w:ascii="Arial" w:eastAsia="Times New Roman" w:hAnsi="Arial" w:cs="Arial"/>
          <w:color w:val="000000"/>
        </w:rPr>
        <w:t xml:space="preserve"> title. </w:t>
      </w:r>
    </w:p>
    <w:p w:rsidR="006A7590" w:rsidRDefault="006A7590" w:rsidP="006A7590">
      <w:pPr>
        <w:pStyle w:val="NoSpacing"/>
        <w:rPr>
          <w:rFonts w:eastAsia="Times New Roman" w:cs="Arial"/>
          <w:color w:val="000000"/>
          <w:lang w:val="en-US"/>
        </w:rPr>
      </w:pPr>
    </w:p>
    <w:p w:rsidR="00BB7529" w:rsidRDefault="00BB7529" w:rsidP="006A7590">
      <w:pPr>
        <w:pStyle w:val="NoSpacing"/>
        <w:rPr>
          <w:rFonts w:eastAsia="Times New Roman" w:cs="Arial"/>
          <w:color w:val="000000"/>
          <w:lang w:val="en-US"/>
        </w:rPr>
      </w:pPr>
    </w:p>
    <w:p w:rsidR="00BB7529" w:rsidRDefault="00BB7529" w:rsidP="006A7590">
      <w:pPr>
        <w:pStyle w:val="NoSpacing"/>
        <w:rPr>
          <w:rFonts w:eastAsia="Times New Roman" w:cs="Arial"/>
          <w:color w:val="000000"/>
          <w:lang w:val="en-US"/>
        </w:rPr>
      </w:pPr>
    </w:p>
    <w:p w:rsidR="00BB7529" w:rsidRDefault="00BB7529" w:rsidP="006A7590">
      <w:pPr>
        <w:pStyle w:val="NoSpacing"/>
        <w:rPr>
          <w:rFonts w:eastAsia="Times New Roman" w:cs="Arial"/>
          <w:color w:val="000000"/>
          <w:lang w:val="en-US"/>
        </w:rPr>
      </w:pPr>
    </w:p>
    <w:p w:rsidR="00BB7529" w:rsidRDefault="00BB7529" w:rsidP="006A7590">
      <w:pPr>
        <w:pStyle w:val="NoSpacing"/>
        <w:rPr>
          <w:rFonts w:eastAsia="Times New Roman" w:cs="Arial"/>
          <w:color w:val="000000"/>
          <w:lang w:val="en-US"/>
        </w:rPr>
      </w:pPr>
    </w:p>
    <w:p w:rsidR="00BB7529" w:rsidRDefault="00BB7529" w:rsidP="006A7590">
      <w:pPr>
        <w:pStyle w:val="NoSpacing"/>
        <w:rPr>
          <w:rFonts w:eastAsia="Times New Roman" w:cs="Arial"/>
          <w:color w:val="000000"/>
          <w:lang w:val="en-US"/>
        </w:rPr>
      </w:pPr>
    </w:p>
    <w:sectPr w:rsidR="00BB7529" w:rsidSect="00E535EA">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7F" w:rsidRDefault="008D607F" w:rsidP="000C1C29">
      <w:pPr>
        <w:spacing w:after="0" w:line="240" w:lineRule="auto"/>
      </w:pPr>
      <w:r>
        <w:separator/>
      </w:r>
    </w:p>
  </w:endnote>
  <w:endnote w:type="continuationSeparator" w:id="0">
    <w:p w:rsidR="008D607F" w:rsidRDefault="008D607F" w:rsidP="000C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892615"/>
      <w:docPartObj>
        <w:docPartGallery w:val="Page Numbers (Bottom of Page)"/>
        <w:docPartUnique/>
      </w:docPartObj>
    </w:sdtPr>
    <w:sdtEndPr/>
    <w:sdtContent>
      <w:sdt>
        <w:sdtPr>
          <w:id w:val="1728636285"/>
          <w:docPartObj>
            <w:docPartGallery w:val="Page Numbers (Top of Page)"/>
            <w:docPartUnique/>
          </w:docPartObj>
        </w:sdtPr>
        <w:sdtEndPr/>
        <w:sdtContent>
          <w:p w:rsidR="000C1C29" w:rsidRDefault="000C1C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F3A9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3A97">
              <w:rPr>
                <w:b/>
                <w:bCs/>
                <w:noProof/>
              </w:rPr>
              <w:t>5</w:t>
            </w:r>
            <w:r>
              <w:rPr>
                <w:b/>
                <w:bCs/>
                <w:sz w:val="24"/>
                <w:szCs w:val="24"/>
              </w:rPr>
              <w:fldChar w:fldCharType="end"/>
            </w:r>
          </w:p>
        </w:sdtContent>
      </w:sdt>
    </w:sdtContent>
  </w:sdt>
  <w:p w:rsidR="000C1C29" w:rsidRDefault="000C1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7F" w:rsidRDefault="008D607F" w:rsidP="000C1C29">
      <w:pPr>
        <w:spacing w:after="0" w:line="240" w:lineRule="auto"/>
      </w:pPr>
      <w:r>
        <w:separator/>
      </w:r>
    </w:p>
  </w:footnote>
  <w:footnote w:type="continuationSeparator" w:id="0">
    <w:p w:rsidR="008D607F" w:rsidRDefault="008D607F" w:rsidP="000C1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F01"/>
    <w:multiLevelType w:val="hybridMultilevel"/>
    <w:tmpl w:val="F75E5CC6"/>
    <w:lvl w:ilvl="0" w:tplc="C9847DF8">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
    <w:nsid w:val="05D73814"/>
    <w:multiLevelType w:val="hybridMultilevel"/>
    <w:tmpl w:val="74C29CB0"/>
    <w:lvl w:ilvl="0" w:tplc="094ACE1A">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9175B3E"/>
    <w:multiLevelType w:val="hybridMultilevel"/>
    <w:tmpl w:val="5BE826CA"/>
    <w:lvl w:ilvl="0" w:tplc="25882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0B0436"/>
    <w:multiLevelType w:val="hybridMultilevel"/>
    <w:tmpl w:val="756E5CF4"/>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EF6237B"/>
    <w:multiLevelType w:val="multilevel"/>
    <w:tmpl w:val="C75A7392"/>
    <w:lvl w:ilvl="0">
      <w:start w:val="1"/>
      <w:numFmt w:val="decimal"/>
      <w:lvlText w:val="%1."/>
      <w:lvlJc w:val="left"/>
      <w:pPr>
        <w:ind w:left="2160" w:hanging="360"/>
      </w:pPr>
    </w:lvl>
    <w:lvl w:ilvl="1">
      <w:start w:val="1"/>
      <w:numFmt w:val="decimal"/>
      <w:isLgl/>
      <w:lvlText w:val="%1.%2"/>
      <w:lvlJc w:val="left"/>
      <w:pPr>
        <w:ind w:left="2532" w:hanging="372"/>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480" w:hanging="1800"/>
      </w:pPr>
      <w:rPr>
        <w:rFonts w:hint="default"/>
      </w:rPr>
    </w:lvl>
  </w:abstractNum>
  <w:abstractNum w:abstractNumId="5">
    <w:nsid w:val="1B5261CD"/>
    <w:multiLevelType w:val="hybridMultilevel"/>
    <w:tmpl w:val="2694488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E2245"/>
    <w:multiLevelType w:val="hybridMultilevel"/>
    <w:tmpl w:val="A68CE702"/>
    <w:lvl w:ilvl="0" w:tplc="D0D4EAEA">
      <w:start w:val="1"/>
      <w:numFmt w:val="bullet"/>
      <w:lvlText w:val="-"/>
      <w:lvlJc w:val="left"/>
      <w:pPr>
        <w:ind w:left="2520" w:hanging="360"/>
      </w:pPr>
      <w:rPr>
        <w:rFonts w:ascii="Arial" w:eastAsiaTheme="minorHAnsi" w:hAnsi="Arial" w:cs="Arial"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7">
    <w:nsid w:val="20CC694E"/>
    <w:multiLevelType w:val="hybridMultilevel"/>
    <w:tmpl w:val="6C72D196"/>
    <w:lvl w:ilvl="0" w:tplc="F6EA2874">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8">
    <w:nsid w:val="230E189F"/>
    <w:multiLevelType w:val="hybridMultilevel"/>
    <w:tmpl w:val="C99CE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F3EDA"/>
    <w:multiLevelType w:val="multilevel"/>
    <w:tmpl w:val="E9701C7A"/>
    <w:lvl w:ilvl="0">
      <w:start w:val="4"/>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0">
    <w:nsid w:val="335F0E48"/>
    <w:multiLevelType w:val="multilevel"/>
    <w:tmpl w:val="7646F09C"/>
    <w:lvl w:ilvl="0">
      <w:start w:val="1"/>
      <w:numFmt w:val="decimal"/>
      <w:lvlText w:val="%1."/>
      <w:lvlJc w:val="left"/>
      <w:pPr>
        <w:ind w:left="360" w:hanging="360"/>
      </w:pPr>
      <w:rPr>
        <w:rFonts w:hint="default"/>
        <w:u w:val="none"/>
      </w:r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080"/>
      </w:pPr>
      <w:rPr>
        <w:rFonts w:hint="default"/>
      </w:rPr>
    </w:lvl>
    <w:lvl w:ilvl="6">
      <w:start w:val="1"/>
      <w:numFmt w:val="decimal"/>
      <w:isLgl/>
      <w:lvlText w:val="%1.%2.%3.%4.%5.%6.%7"/>
      <w:lvlJc w:val="left"/>
      <w:pPr>
        <w:ind w:left="12240" w:hanging="1440"/>
      </w:pPr>
      <w:rPr>
        <w:rFonts w:hint="default"/>
      </w:rPr>
    </w:lvl>
    <w:lvl w:ilvl="7">
      <w:start w:val="1"/>
      <w:numFmt w:val="decimal"/>
      <w:isLgl/>
      <w:lvlText w:val="%1.%2.%3.%4.%5.%6.%7.%8"/>
      <w:lvlJc w:val="left"/>
      <w:pPr>
        <w:ind w:left="14040" w:hanging="1440"/>
      </w:pPr>
      <w:rPr>
        <w:rFonts w:hint="default"/>
      </w:rPr>
    </w:lvl>
    <w:lvl w:ilvl="8">
      <w:start w:val="1"/>
      <w:numFmt w:val="decimal"/>
      <w:isLgl/>
      <w:lvlText w:val="%1.%2.%3.%4.%5.%6.%7.%8.%9"/>
      <w:lvlJc w:val="left"/>
      <w:pPr>
        <w:ind w:left="16200" w:hanging="1800"/>
      </w:pPr>
      <w:rPr>
        <w:rFonts w:hint="default"/>
      </w:rPr>
    </w:lvl>
  </w:abstractNum>
  <w:abstractNum w:abstractNumId="11">
    <w:nsid w:val="37C23FBB"/>
    <w:multiLevelType w:val="multilevel"/>
    <w:tmpl w:val="393AC00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2">
    <w:nsid w:val="38F3083A"/>
    <w:multiLevelType w:val="hybridMultilevel"/>
    <w:tmpl w:val="F75E5CC6"/>
    <w:lvl w:ilvl="0" w:tplc="C9847DF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3E770F31"/>
    <w:multiLevelType w:val="hybridMultilevel"/>
    <w:tmpl w:val="4C18B24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438742B1"/>
    <w:multiLevelType w:val="hybridMultilevel"/>
    <w:tmpl w:val="509279B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A7085F"/>
    <w:multiLevelType w:val="hybridMultilevel"/>
    <w:tmpl w:val="D342460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4628DC"/>
    <w:multiLevelType w:val="hybridMultilevel"/>
    <w:tmpl w:val="8CAE9B6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94603E"/>
    <w:multiLevelType w:val="hybridMultilevel"/>
    <w:tmpl w:val="1A0CC6CE"/>
    <w:lvl w:ilvl="0" w:tplc="6CE02F96">
      <w:start w:val="1"/>
      <w:numFmt w:val="decimal"/>
      <w:lvlText w:val="%1."/>
      <w:lvlJc w:val="left"/>
      <w:pPr>
        <w:ind w:left="1800" w:hanging="360"/>
      </w:pPr>
      <w:rPr>
        <w:rFonts w:hint="default"/>
      </w:rPr>
    </w:lvl>
    <w:lvl w:ilvl="1" w:tplc="34090019">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8">
    <w:nsid w:val="546569F7"/>
    <w:multiLevelType w:val="hybridMultilevel"/>
    <w:tmpl w:val="AD08A3B0"/>
    <w:lvl w:ilvl="0" w:tplc="0D049D30">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nsid w:val="5B85543C"/>
    <w:multiLevelType w:val="hybridMultilevel"/>
    <w:tmpl w:val="7F08FC92"/>
    <w:lvl w:ilvl="0" w:tplc="027005B6">
      <w:start w:val="5"/>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nsid w:val="650B36AE"/>
    <w:multiLevelType w:val="hybridMultilevel"/>
    <w:tmpl w:val="D994B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7C432F"/>
    <w:multiLevelType w:val="hybridMultilevel"/>
    <w:tmpl w:val="E628208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6CB36E7A"/>
    <w:multiLevelType w:val="hybridMultilevel"/>
    <w:tmpl w:val="DCDCA272"/>
    <w:lvl w:ilvl="0" w:tplc="6A48C448">
      <w:start w:val="1"/>
      <w:numFmt w:val="upperLetter"/>
      <w:lvlText w:val="%1."/>
      <w:lvlJc w:val="left"/>
      <w:pPr>
        <w:ind w:left="720" w:hanging="360"/>
      </w:pPr>
      <w:rPr>
        <w:rFonts w:hint="default"/>
        <w:color w:val="FF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72A45E9F"/>
    <w:multiLevelType w:val="multilevel"/>
    <w:tmpl w:val="81760EEC"/>
    <w:lvl w:ilvl="0">
      <w:start w:val="1"/>
      <w:numFmt w:val="decimal"/>
      <w:lvlText w:val="%1"/>
      <w:lvlJc w:val="left"/>
      <w:pPr>
        <w:ind w:left="372" w:hanging="372"/>
      </w:pPr>
      <w:rPr>
        <w:rFonts w:hint="default"/>
      </w:rPr>
    </w:lvl>
    <w:lvl w:ilvl="1">
      <w:start w:val="1"/>
      <w:numFmt w:val="decimal"/>
      <w:lvlText w:val="%1.%2"/>
      <w:lvlJc w:val="left"/>
      <w:pPr>
        <w:ind w:left="2172" w:hanging="372"/>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4">
    <w:nsid w:val="73B24F4E"/>
    <w:multiLevelType w:val="hybridMultilevel"/>
    <w:tmpl w:val="C8304DF4"/>
    <w:lvl w:ilvl="0" w:tplc="31C48B1A">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5">
    <w:nsid w:val="74B22608"/>
    <w:multiLevelType w:val="hybridMultilevel"/>
    <w:tmpl w:val="FD72C13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76880D36"/>
    <w:multiLevelType w:val="multilevel"/>
    <w:tmpl w:val="349A6084"/>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7">
    <w:nsid w:val="781C159E"/>
    <w:multiLevelType w:val="hybridMultilevel"/>
    <w:tmpl w:val="69F69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D63FA2"/>
    <w:multiLevelType w:val="hybridMultilevel"/>
    <w:tmpl w:val="6C72D196"/>
    <w:lvl w:ilvl="0" w:tplc="F6EA287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8"/>
  </w:num>
  <w:num w:numId="2">
    <w:abstractNumId w:val="20"/>
  </w:num>
  <w:num w:numId="3">
    <w:abstractNumId w:val="27"/>
  </w:num>
  <w:num w:numId="4">
    <w:abstractNumId w:val="15"/>
  </w:num>
  <w:num w:numId="5">
    <w:abstractNumId w:val="26"/>
  </w:num>
  <w:num w:numId="6">
    <w:abstractNumId w:val="4"/>
  </w:num>
  <w:num w:numId="7">
    <w:abstractNumId w:val="17"/>
  </w:num>
  <w:num w:numId="8">
    <w:abstractNumId w:val="23"/>
  </w:num>
  <w:num w:numId="9">
    <w:abstractNumId w:val="7"/>
  </w:num>
  <w:num w:numId="10">
    <w:abstractNumId w:val="18"/>
  </w:num>
  <w:num w:numId="11">
    <w:abstractNumId w:val="0"/>
  </w:num>
  <w:num w:numId="12">
    <w:abstractNumId w:val="24"/>
  </w:num>
  <w:num w:numId="13">
    <w:abstractNumId w:val="6"/>
  </w:num>
  <w:num w:numId="14">
    <w:abstractNumId w:val="22"/>
  </w:num>
  <w:num w:numId="15">
    <w:abstractNumId w:val="10"/>
  </w:num>
  <w:num w:numId="16">
    <w:abstractNumId w:val="28"/>
  </w:num>
  <w:num w:numId="17">
    <w:abstractNumId w:val="13"/>
  </w:num>
  <w:num w:numId="18">
    <w:abstractNumId w:val="12"/>
  </w:num>
  <w:num w:numId="19">
    <w:abstractNumId w:val="19"/>
  </w:num>
  <w:num w:numId="20">
    <w:abstractNumId w:val="9"/>
  </w:num>
  <w:num w:numId="21">
    <w:abstractNumId w:val="16"/>
  </w:num>
  <w:num w:numId="22">
    <w:abstractNumId w:val="5"/>
  </w:num>
  <w:num w:numId="23">
    <w:abstractNumId w:val="2"/>
  </w:num>
  <w:num w:numId="24">
    <w:abstractNumId w:val="14"/>
  </w:num>
  <w:num w:numId="25">
    <w:abstractNumId w:val="11"/>
  </w:num>
  <w:num w:numId="26">
    <w:abstractNumId w:val="1"/>
  </w:num>
  <w:num w:numId="27">
    <w:abstractNumId w:val="25"/>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25"/>
    <w:rsid w:val="00000E0F"/>
    <w:rsid w:val="00031C04"/>
    <w:rsid w:val="00033A7B"/>
    <w:rsid w:val="00034976"/>
    <w:rsid w:val="00045580"/>
    <w:rsid w:val="000842C2"/>
    <w:rsid w:val="000B0019"/>
    <w:rsid w:val="000C1C29"/>
    <w:rsid w:val="000D459D"/>
    <w:rsid w:val="000E4345"/>
    <w:rsid w:val="001032BA"/>
    <w:rsid w:val="00103E54"/>
    <w:rsid w:val="001043C0"/>
    <w:rsid w:val="00111658"/>
    <w:rsid w:val="001A54EC"/>
    <w:rsid w:val="001B43C1"/>
    <w:rsid w:val="001B784D"/>
    <w:rsid w:val="0021333B"/>
    <w:rsid w:val="00217D0C"/>
    <w:rsid w:val="002255B0"/>
    <w:rsid w:val="002B3B60"/>
    <w:rsid w:val="002B4E21"/>
    <w:rsid w:val="002D4C4C"/>
    <w:rsid w:val="002F3A97"/>
    <w:rsid w:val="002F551C"/>
    <w:rsid w:val="002F6FA0"/>
    <w:rsid w:val="003028C8"/>
    <w:rsid w:val="00343E26"/>
    <w:rsid w:val="00361027"/>
    <w:rsid w:val="003614D0"/>
    <w:rsid w:val="00364D32"/>
    <w:rsid w:val="00387EB4"/>
    <w:rsid w:val="00395FBF"/>
    <w:rsid w:val="003971E1"/>
    <w:rsid w:val="003A5A6E"/>
    <w:rsid w:val="003D55C5"/>
    <w:rsid w:val="003E00B3"/>
    <w:rsid w:val="003F65BA"/>
    <w:rsid w:val="00411986"/>
    <w:rsid w:val="0043740E"/>
    <w:rsid w:val="00455BB1"/>
    <w:rsid w:val="0047061F"/>
    <w:rsid w:val="00484404"/>
    <w:rsid w:val="004F782A"/>
    <w:rsid w:val="004F7B10"/>
    <w:rsid w:val="00504F4F"/>
    <w:rsid w:val="00517B95"/>
    <w:rsid w:val="00532DA7"/>
    <w:rsid w:val="00534330"/>
    <w:rsid w:val="0054602B"/>
    <w:rsid w:val="0056067A"/>
    <w:rsid w:val="005859E8"/>
    <w:rsid w:val="005D448B"/>
    <w:rsid w:val="005E519C"/>
    <w:rsid w:val="005E6660"/>
    <w:rsid w:val="00610422"/>
    <w:rsid w:val="006342BC"/>
    <w:rsid w:val="00652D3E"/>
    <w:rsid w:val="00673F17"/>
    <w:rsid w:val="00680226"/>
    <w:rsid w:val="00685055"/>
    <w:rsid w:val="006975B5"/>
    <w:rsid w:val="006A7590"/>
    <w:rsid w:val="006D3D9A"/>
    <w:rsid w:val="006F7A9C"/>
    <w:rsid w:val="00772CB0"/>
    <w:rsid w:val="007B0D51"/>
    <w:rsid w:val="007D2CC8"/>
    <w:rsid w:val="007F31FC"/>
    <w:rsid w:val="007F322F"/>
    <w:rsid w:val="00807465"/>
    <w:rsid w:val="00810F1D"/>
    <w:rsid w:val="0084176B"/>
    <w:rsid w:val="00862C2F"/>
    <w:rsid w:val="008A4793"/>
    <w:rsid w:val="008B1015"/>
    <w:rsid w:val="008B7666"/>
    <w:rsid w:val="008D607F"/>
    <w:rsid w:val="009209C5"/>
    <w:rsid w:val="00920FF6"/>
    <w:rsid w:val="009437C5"/>
    <w:rsid w:val="00975128"/>
    <w:rsid w:val="00991589"/>
    <w:rsid w:val="009A4F62"/>
    <w:rsid w:val="009D57DE"/>
    <w:rsid w:val="009F69ED"/>
    <w:rsid w:val="00A45715"/>
    <w:rsid w:val="00A56F0F"/>
    <w:rsid w:val="00A64C33"/>
    <w:rsid w:val="00AA10E6"/>
    <w:rsid w:val="00AA54A5"/>
    <w:rsid w:val="00AA5F00"/>
    <w:rsid w:val="00AB544F"/>
    <w:rsid w:val="00AE2431"/>
    <w:rsid w:val="00AF58E9"/>
    <w:rsid w:val="00B154EE"/>
    <w:rsid w:val="00B20719"/>
    <w:rsid w:val="00B21B4F"/>
    <w:rsid w:val="00B22630"/>
    <w:rsid w:val="00B26A5E"/>
    <w:rsid w:val="00B63211"/>
    <w:rsid w:val="00B85736"/>
    <w:rsid w:val="00BB4905"/>
    <w:rsid w:val="00BB4EBC"/>
    <w:rsid w:val="00BB7529"/>
    <w:rsid w:val="00BD3D3E"/>
    <w:rsid w:val="00BE012D"/>
    <w:rsid w:val="00BF13C2"/>
    <w:rsid w:val="00BF2925"/>
    <w:rsid w:val="00C05086"/>
    <w:rsid w:val="00C3432F"/>
    <w:rsid w:val="00C83B70"/>
    <w:rsid w:val="00C9371F"/>
    <w:rsid w:val="00C944CA"/>
    <w:rsid w:val="00C947D6"/>
    <w:rsid w:val="00CA3D90"/>
    <w:rsid w:val="00CA5110"/>
    <w:rsid w:val="00CB5165"/>
    <w:rsid w:val="00D23DF0"/>
    <w:rsid w:val="00D33FE5"/>
    <w:rsid w:val="00D565E3"/>
    <w:rsid w:val="00D56E3C"/>
    <w:rsid w:val="00D60CAA"/>
    <w:rsid w:val="00D67AC1"/>
    <w:rsid w:val="00D87931"/>
    <w:rsid w:val="00D91A4E"/>
    <w:rsid w:val="00DB274B"/>
    <w:rsid w:val="00DC17A7"/>
    <w:rsid w:val="00DE44CC"/>
    <w:rsid w:val="00DE6904"/>
    <w:rsid w:val="00E1370B"/>
    <w:rsid w:val="00E2549A"/>
    <w:rsid w:val="00E535EA"/>
    <w:rsid w:val="00E91D19"/>
    <w:rsid w:val="00E97766"/>
    <w:rsid w:val="00E979C8"/>
    <w:rsid w:val="00EB2314"/>
    <w:rsid w:val="00ED780D"/>
    <w:rsid w:val="00F25055"/>
    <w:rsid w:val="00F3294E"/>
    <w:rsid w:val="00F73F51"/>
    <w:rsid w:val="00F753C9"/>
    <w:rsid w:val="00F95651"/>
    <w:rsid w:val="00FB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BB1"/>
    <w:pPr>
      <w:ind w:left="720"/>
      <w:contextualSpacing/>
    </w:pPr>
  </w:style>
  <w:style w:type="table" w:styleId="TableGrid">
    <w:name w:val="Table Grid"/>
    <w:basedOn w:val="TableNormal"/>
    <w:uiPriority w:val="59"/>
    <w:rsid w:val="008A4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65E3"/>
    <w:rPr>
      <w:color w:val="0563C1" w:themeColor="hyperlink"/>
      <w:u w:val="single"/>
    </w:rPr>
  </w:style>
  <w:style w:type="paragraph" w:styleId="NoSpacing">
    <w:name w:val="No Spacing"/>
    <w:link w:val="NoSpacingChar"/>
    <w:uiPriority w:val="1"/>
    <w:qFormat/>
    <w:rsid w:val="00D565E3"/>
    <w:pPr>
      <w:spacing w:after="0" w:line="240" w:lineRule="auto"/>
      <w:jc w:val="both"/>
    </w:pPr>
    <w:rPr>
      <w:rFonts w:ascii="Arial" w:hAnsi="Arial"/>
      <w:lang w:val="en-PH"/>
    </w:rPr>
  </w:style>
  <w:style w:type="character" w:customStyle="1" w:styleId="NoSpacingChar">
    <w:name w:val="No Spacing Char"/>
    <w:basedOn w:val="DefaultParagraphFont"/>
    <w:link w:val="NoSpacing"/>
    <w:uiPriority w:val="1"/>
    <w:rsid w:val="00D565E3"/>
    <w:rPr>
      <w:rFonts w:ascii="Arial" w:hAnsi="Arial"/>
      <w:lang w:val="en-PH"/>
    </w:rPr>
  </w:style>
  <w:style w:type="paragraph" w:styleId="Header">
    <w:name w:val="header"/>
    <w:basedOn w:val="Normal"/>
    <w:link w:val="HeaderChar"/>
    <w:uiPriority w:val="99"/>
    <w:unhideWhenUsed/>
    <w:rsid w:val="000C1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C29"/>
  </w:style>
  <w:style w:type="paragraph" w:styleId="Footer">
    <w:name w:val="footer"/>
    <w:basedOn w:val="Normal"/>
    <w:link w:val="FooterChar"/>
    <w:uiPriority w:val="99"/>
    <w:unhideWhenUsed/>
    <w:rsid w:val="000C1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C29"/>
  </w:style>
  <w:style w:type="paragraph" w:styleId="BalloonText">
    <w:name w:val="Balloon Text"/>
    <w:basedOn w:val="Normal"/>
    <w:link w:val="BalloonTextChar"/>
    <w:uiPriority w:val="99"/>
    <w:semiHidden/>
    <w:unhideWhenUsed/>
    <w:rsid w:val="00D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BB1"/>
    <w:pPr>
      <w:ind w:left="720"/>
      <w:contextualSpacing/>
    </w:pPr>
  </w:style>
  <w:style w:type="table" w:styleId="TableGrid">
    <w:name w:val="Table Grid"/>
    <w:basedOn w:val="TableNormal"/>
    <w:uiPriority w:val="59"/>
    <w:rsid w:val="008A4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65E3"/>
    <w:rPr>
      <w:color w:val="0563C1" w:themeColor="hyperlink"/>
      <w:u w:val="single"/>
    </w:rPr>
  </w:style>
  <w:style w:type="paragraph" w:styleId="NoSpacing">
    <w:name w:val="No Spacing"/>
    <w:link w:val="NoSpacingChar"/>
    <w:uiPriority w:val="1"/>
    <w:qFormat/>
    <w:rsid w:val="00D565E3"/>
    <w:pPr>
      <w:spacing w:after="0" w:line="240" w:lineRule="auto"/>
      <w:jc w:val="both"/>
    </w:pPr>
    <w:rPr>
      <w:rFonts w:ascii="Arial" w:hAnsi="Arial"/>
      <w:lang w:val="en-PH"/>
    </w:rPr>
  </w:style>
  <w:style w:type="character" w:customStyle="1" w:styleId="NoSpacingChar">
    <w:name w:val="No Spacing Char"/>
    <w:basedOn w:val="DefaultParagraphFont"/>
    <w:link w:val="NoSpacing"/>
    <w:uiPriority w:val="1"/>
    <w:rsid w:val="00D565E3"/>
    <w:rPr>
      <w:rFonts w:ascii="Arial" w:hAnsi="Arial"/>
      <w:lang w:val="en-PH"/>
    </w:rPr>
  </w:style>
  <w:style w:type="paragraph" w:styleId="Header">
    <w:name w:val="header"/>
    <w:basedOn w:val="Normal"/>
    <w:link w:val="HeaderChar"/>
    <w:uiPriority w:val="99"/>
    <w:unhideWhenUsed/>
    <w:rsid w:val="000C1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C29"/>
  </w:style>
  <w:style w:type="paragraph" w:styleId="Footer">
    <w:name w:val="footer"/>
    <w:basedOn w:val="Normal"/>
    <w:link w:val="FooterChar"/>
    <w:uiPriority w:val="99"/>
    <w:unhideWhenUsed/>
    <w:rsid w:val="000C1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C29"/>
  </w:style>
  <w:style w:type="paragraph" w:styleId="BalloonText">
    <w:name w:val="Balloon Text"/>
    <w:basedOn w:val="Normal"/>
    <w:link w:val="BalloonTextChar"/>
    <w:uiPriority w:val="99"/>
    <w:semiHidden/>
    <w:unhideWhenUsed/>
    <w:rsid w:val="00D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9537">
      <w:bodyDiv w:val="1"/>
      <w:marLeft w:val="0"/>
      <w:marRight w:val="0"/>
      <w:marTop w:val="0"/>
      <w:marBottom w:val="0"/>
      <w:divBdr>
        <w:top w:val="none" w:sz="0" w:space="0" w:color="auto"/>
        <w:left w:val="none" w:sz="0" w:space="0" w:color="auto"/>
        <w:bottom w:val="none" w:sz="0" w:space="0" w:color="auto"/>
        <w:right w:val="none" w:sz="0" w:space="0" w:color="auto"/>
      </w:divBdr>
    </w:div>
    <w:div w:id="516889450">
      <w:bodyDiv w:val="1"/>
      <w:marLeft w:val="0"/>
      <w:marRight w:val="0"/>
      <w:marTop w:val="0"/>
      <w:marBottom w:val="0"/>
      <w:divBdr>
        <w:top w:val="none" w:sz="0" w:space="0" w:color="auto"/>
        <w:left w:val="none" w:sz="0" w:space="0" w:color="auto"/>
        <w:bottom w:val="none" w:sz="0" w:space="0" w:color="auto"/>
        <w:right w:val="none" w:sz="0" w:space="0" w:color="auto"/>
      </w:divBdr>
    </w:div>
    <w:div w:id="565723500">
      <w:bodyDiv w:val="1"/>
      <w:marLeft w:val="0"/>
      <w:marRight w:val="0"/>
      <w:marTop w:val="0"/>
      <w:marBottom w:val="0"/>
      <w:divBdr>
        <w:top w:val="none" w:sz="0" w:space="0" w:color="auto"/>
        <w:left w:val="none" w:sz="0" w:space="0" w:color="auto"/>
        <w:bottom w:val="none" w:sz="0" w:space="0" w:color="auto"/>
        <w:right w:val="none" w:sz="0" w:space="0" w:color="auto"/>
      </w:divBdr>
    </w:div>
    <w:div w:id="1087578981">
      <w:bodyDiv w:val="1"/>
      <w:marLeft w:val="0"/>
      <w:marRight w:val="0"/>
      <w:marTop w:val="0"/>
      <w:marBottom w:val="0"/>
      <w:divBdr>
        <w:top w:val="none" w:sz="0" w:space="0" w:color="auto"/>
        <w:left w:val="none" w:sz="0" w:space="0" w:color="auto"/>
        <w:bottom w:val="none" w:sz="0" w:space="0" w:color="auto"/>
        <w:right w:val="none" w:sz="0" w:space="0" w:color="auto"/>
      </w:divBdr>
    </w:div>
    <w:div w:id="1123040809">
      <w:bodyDiv w:val="1"/>
      <w:marLeft w:val="0"/>
      <w:marRight w:val="0"/>
      <w:marTop w:val="0"/>
      <w:marBottom w:val="0"/>
      <w:divBdr>
        <w:top w:val="none" w:sz="0" w:space="0" w:color="auto"/>
        <w:left w:val="none" w:sz="0" w:space="0" w:color="auto"/>
        <w:bottom w:val="none" w:sz="0" w:space="0" w:color="auto"/>
        <w:right w:val="none" w:sz="0" w:space="0" w:color="auto"/>
      </w:divBdr>
    </w:div>
    <w:div w:id="1215039938">
      <w:bodyDiv w:val="1"/>
      <w:marLeft w:val="0"/>
      <w:marRight w:val="0"/>
      <w:marTop w:val="0"/>
      <w:marBottom w:val="0"/>
      <w:divBdr>
        <w:top w:val="none" w:sz="0" w:space="0" w:color="auto"/>
        <w:left w:val="none" w:sz="0" w:space="0" w:color="auto"/>
        <w:bottom w:val="none" w:sz="0" w:space="0" w:color="auto"/>
        <w:right w:val="none" w:sz="0" w:space="0" w:color="auto"/>
      </w:divBdr>
    </w:div>
    <w:div w:id="1339580357">
      <w:bodyDiv w:val="1"/>
      <w:marLeft w:val="0"/>
      <w:marRight w:val="0"/>
      <w:marTop w:val="0"/>
      <w:marBottom w:val="0"/>
      <w:divBdr>
        <w:top w:val="none" w:sz="0" w:space="0" w:color="auto"/>
        <w:left w:val="none" w:sz="0" w:space="0" w:color="auto"/>
        <w:bottom w:val="none" w:sz="0" w:space="0" w:color="auto"/>
        <w:right w:val="none" w:sz="0" w:space="0" w:color="auto"/>
      </w:divBdr>
    </w:div>
    <w:div w:id="1366906333">
      <w:bodyDiv w:val="1"/>
      <w:marLeft w:val="0"/>
      <w:marRight w:val="0"/>
      <w:marTop w:val="0"/>
      <w:marBottom w:val="0"/>
      <w:divBdr>
        <w:top w:val="none" w:sz="0" w:space="0" w:color="auto"/>
        <w:left w:val="none" w:sz="0" w:space="0" w:color="auto"/>
        <w:bottom w:val="none" w:sz="0" w:space="0" w:color="auto"/>
        <w:right w:val="none" w:sz="0" w:space="0" w:color="auto"/>
      </w:divBdr>
    </w:div>
    <w:div w:id="1510288447">
      <w:bodyDiv w:val="1"/>
      <w:marLeft w:val="0"/>
      <w:marRight w:val="0"/>
      <w:marTop w:val="0"/>
      <w:marBottom w:val="0"/>
      <w:divBdr>
        <w:top w:val="none" w:sz="0" w:space="0" w:color="auto"/>
        <w:left w:val="none" w:sz="0" w:space="0" w:color="auto"/>
        <w:bottom w:val="none" w:sz="0" w:space="0" w:color="auto"/>
        <w:right w:val="none" w:sz="0" w:space="0" w:color="auto"/>
      </w:divBdr>
    </w:div>
    <w:div w:id="1623729014">
      <w:bodyDiv w:val="1"/>
      <w:marLeft w:val="0"/>
      <w:marRight w:val="0"/>
      <w:marTop w:val="0"/>
      <w:marBottom w:val="0"/>
      <w:divBdr>
        <w:top w:val="none" w:sz="0" w:space="0" w:color="auto"/>
        <w:left w:val="none" w:sz="0" w:space="0" w:color="auto"/>
        <w:bottom w:val="none" w:sz="0" w:space="0" w:color="auto"/>
        <w:right w:val="none" w:sz="0" w:space="0" w:color="auto"/>
      </w:divBdr>
    </w:div>
    <w:div w:id="1650554650">
      <w:bodyDiv w:val="1"/>
      <w:marLeft w:val="0"/>
      <w:marRight w:val="0"/>
      <w:marTop w:val="0"/>
      <w:marBottom w:val="0"/>
      <w:divBdr>
        <w:top w:val="none" w:sz="0" w:space="0" w:color="auto"/>
        <w:left w:val="none" w:sz="0" w:space="0" w:color="auto"/>
        <w:bottom w:val="none" w:sz="0" w:space="0" w:color="auto"/>
        <w:right w:val="none" w:sz="0" w:space="0" w:color="auto"/>
      </w:divBdr>
    </w:div>
    <w:div w:id="1754274805">
      <w:bodyDiv w:val="1"/>
      <w:marLeft w:val="0"/>
      <w:marRight w:val="0"/>
      <w:marTop w:val="0"/>
      <w:marBottom w:val="0"/>
      <w:divBdr>
        <w:top w:val="none" w:sz="0" w:space="0" w:color="auto"/>
        <w:left w:val="none" w:sz="0" w:space="0" w:color="auto"/>
        <w:bottom w:val="none" w:sz="0" w:space="0" w:color="auto"/>
        <w:right w:val="none" w:sz="0" w:space="0" w:color="auto"/>
      </w:divBdr>
    </w:div>
    <w:div w:id="1849716530">
      <w:bodyDiv w:val="1"/>
      <w:marLeft w:val="0"/>
      <w:marRight w:val="0"/>
      <w:marTop w:val="0"/>
      <w:marBottom w:val="0"/>
      <w:divBdr>
        <w:top w:val="none" w:sz="0" w:space="0" w:color="auto"/>
        <w:left w:val="none" w:sz="0" w:space="0" w:color="auto"/>
        <w:bottom w:val="none" w:sz="0" w:space="0" w:color="auto"/>
        <w:right w:val="none" w:sz="0" w:space="0" w:color="auto"/>
      </w:divBdr>
    </w:div>
    <w:div w:id="1920868524">
      <w:bodyDiv w:val="1"/>
      <w:marLeft w:val="0"/>
      <w:marRight w:val="0"/>
      <w:marTop w:val="0"/>
      <w:marBottom w:val="0"/>
      <w:divBdr>
        <w:top w:val="none" w:sz="0" w:space="0" w:color="auto"/>
        <w:left w:val="none" w:sz="0" w:space="0" w:color="auto"/>
        <w:bottom w:val="none" w:sz="0" w:space="0" w:color="auto"/>
        <w:right w:val="none" w:sz="0" w:space="0" w:color="auto"/>
      </w:divBdr>
    </w:div>
    <w:div w:id="198777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dc:creator>
  <cp:lastModifiedBy>VICTORINO GETALADO</cp:lastModifiedBy>
  <cp:revision>7</cp:revision>
  <cp:lastPrinted>2021-10-11T05:54:00Z</cp:lastPrinted>
  <dcterms:created xsi:type="dcterms:W3CDTF">2021-10-06T23:08:00Z</dcterms:created>
  <dcterms:modified xsi:type="dcterms:W3CDTF">2021-10-11T23:14:00Z</dcterms:modified>
</cp:coreProperties>
</file>