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8423" w:type="dxa"/>
        <w:tblLook w:val="04A0" w:firstRow="1" w:lastRow="0" w:firstColumn="1" w:lastColumn="0" w:noHBand="0" w:noVBand="1"/>
      </w:tblPr>
      <w:tblGrid>
        <w:gridCol w:w="6799"/>
        <w:gridCol w:w="5954"/>
        <w:gridCol w:w="5670"/>
      </w:tblGrid>
      <w:tr w:rsidR="00040EFE" w:rsidRPr="00097ABB" w14:paraId="0EA24E5D" w14:textId="77777777" w:rsidTr="000266E5">
        <w:trPr>
          <w:trHeight w:val="262"/>
          <w:tblHeader/>
        </w:trPr>
        <w:tc>
          <w:tcPr>
            <w:tcW w:w="6799" w:type="dxa"/>
          </w:tcPr>
          <w:p w14:paraId="48D0075C" w14:textId="2B5A73C2" w:rsidR="00040EFE" w:rsidRPr="00097ABB" w:rsidRDefault="0077471A" w:rsidP="00040EFE">
            <w:pPr>
              <w:jc w:val="center"/>
              <w:rPr>
                <w:rFonts w:ascii="Arial" w:hAnsi="Arial" w:cs="Arial"/>
                <w:b/>
                <w:bCs/>
              </w:rPr>
            </w:pPr>
            <w:r w:rsidRPr="00097ABB">
              <w:rPr>
                <w:rFonts w:ascii="Arial" w:hAnsi="Arial" w:cs="Arial"/>
                <w:b/>
                <w:bCs/>
              </w:rPr>
              <w:t>SECTION</w:t>
            </w:r>
          </w:p>
        </w:tc>
        <w:tc>
          <w:tcPr>
            <w:tcW w:w="5954" w:type="dxa"/>
          </w:tcPr>
          <w:p w14:paraId="6FB73D78" w14:textId="4B815310" w:rsidR="00040EFE" w:rsidRPr="00097ABB" w:rsidRDefault="0077471A" w:rsidP="00040EFE">
            <w:pPr>
              <w:jc w:val="center"/>
              <w:rPr>
                <w:rFonts w:ascii="Arial" w:hAnsi="Arial" w:cs="Arial"/>
                <w:b/>
                <w:bCs/>
              </w:rPr>
            </w:pPr>
            <w:r w:rsidRPr="00097ABB">
              <w:rPr>
                <w:rFonts w:ascii="Arial" w:hAnsi="Arial" w:cs="Arial"/>
                <w:b/>
                <w:bCs/>
              </w:rPr>
              <w:t>COMMENTS/RECOMMENDATION</w:t>
            </w:r>
          </w:p>
        </w:tc>
        <w:tc>
          <w:tcPr>
            <w:tcW w:w="5670" w:type="dxa"/>
          </w:tcPr>
          <w:p w14:paraId="63BE17C2" w14:textId="60CCDE01" w:rsidR="00040EFE" w:rsidRPr="00097ABB" w:rsidRDefault="0077471A" w:rsidP="00040EFE">
            <w:pPr>
              <w:jc w:val="center"/>
              <w:rPr>
                <w:rFonts w:ascii="Arial" w:hAnsi="Arial" w:cs="Arial"/>
                <w:b/>
                <w:bCs/>
              </w:rPr>
            </w:pPr>
            <w:r w:rsidRPr="00097ABB">
              <w:rPr>
                <w:rFonts w:ascii="Arial" w:hAnsi="Arial" w:cs="Arial"/>
                <w:b/>
                <w:bCs/>
              </w:rPr>
              <w:t>PROPOSED/SUGGESTED REVISION</w:t>
            </w:r>
          </w:p>
        </w:tc>
      </w:tr>
      <w:tr w:rsidR="009D41CC" w:rsidRPr="00097ABB" w14:paraId="6ED0F68A" w14:textId="77777777" w:rsidTr="000266E5">
        <w:trPr>
          <w:trHeight w:val="262"/>
          <w:tblHeader/>
        </w:trPr>
        <w:tc>
          <w:tcPr>
            <w:tcW w:w="6799" w:type="dxa"/>
          </w:tcPr>
          <w:p w14:paraId="3355606D" w14:textId="77777777" w:rsidR="00D632FF" w:rsidRPr="00097ABB" w:rsidRDefault="00D632FF" w:rsidP="00D632FF">
            <w:pPr>
              <w:jc w:val="center"/>
              <w:rPr>
                <w:rFonts w:ascii="Arial" w:hAnsi="Arial" w:cs="Arial"/>
                <w:b/>
                <w:bCs/>
              </w:rPr>
            </w:pPr>
            <w:r w:rsidRPr="00097ABB">
              <w:rPr>
                <w:rFonts w:ascii="Arial" w:hAnsi="Arial" w:cs="Arial"/>
                <w:b/>
                <w:bCs/>
              </w:rPr>
              <w:t>DEPARTMENT CIRCULAR NO. DC2024-________________</w:t>
            </w:r>
          </w:p>
          <w:p w14:paraId="6D610937" w14:textId="77777777" w:rsidR="00D632FF" w:rsidRPr="00097ABB" w:rsidRDefault="00D632FF" w:rsidP="00D632FF">
            <w:pPr>
              <w:jc w:val="center"/>
              <w:rPr>
                <w:rFonts w:ascii="Arial" w:hAnsi="Arial" w:cs="Arial"/>
                <w:b/>
                <w:bCs/>
              </w:rPr>
            </w:pPr>
          </w:p>
          <w:p w14:paraId="3EAB7818" w14:textId="77777777" w:rsidR="00D632FF" w:rsidRPr="00097ABB" w:rsidRDefault="00D632FF" w:rsidP="00D632FF">
            <w:pPr>
              <w:jc w:val="center"/>
              <w:rPr>
                <w:rFonts w:ascii="Arial" w:hAnsi="Arial" w:cs="Arial"/>
                <w:b/>
                <w:bCs/>
              </w:rPr>
            </w:pPr>
            <w:r w:rsidRPr="00097ABB">
              <w:rPr>
                <w:rFonts w:ascii="Arial" w:hAnsi="Arial" w:cs="Arial"/>
                <w:b/>
                <w:bCs/>
              </w:rPr>
              <w:t xml:space="preserve">PRESCRIBING AMENDMENTS TO </w:t>
            </w:r>
          </w:p>
          <w:p w14:paraId="532B06F6" w14:textId="77777777" w:rsidR="00D632FF" w:rsidRPr="00097ABB" w:rsidRDefault="00D632FF" w:rsidP="00D632FF">
            <w:pPr>
              <w:jc w:val="center"/>
              <w:rPr>
                <w:rFonts w:ascii="Arial" w:hAnsi="Arial" w:cs="Arial"/>
                <w:b/>
                <w:bCs/>
              </w:rPr>
            </w:pPr>
            <w:r w:rsidRPr="00097ABB">
              <w:rPr>
                <w:rFonts w:ascii="Arial" w:hAnsi="Arial" w:cs="Arial"/>
                <w:b/>
                <w:bCs/>
              </w:rPr>
              <w:t>DEPARTMENT CIRCULAR NO. DC2023-10-0029 TITLED,</w:t>
            </w:r>
          </w:p>
          <w:p w14:paraId="34B6E7D4" w14:textId="77777777" w:rsidR="00D632FF" w:rsidRPr="00097ABB" w:rsidRDefault="00D632FF" w:rsidP="00D632FF">
            <w:pPr>
              <w:jc w:val="center"/>
              <w:rPr>
                <w:rFonts w:ascii="Arial" w:hAnsi="Arial" w:cs="Arial"/>
                <w:b/>
                <w:bCs/>
              </w:rPr>
            </w:pPr>
            <w:r w:rsidRPr="00097ABB">
              <w:rPr>
                <w:rFonts w:ascii="Arial" w:hAnsi="Arial" w:cs="Arial"/>
                <w:b/>
                <w:bCs/>
              </w:rPr>
              <w:t>“PROVIDING SPECIFIC AUCTION POLICY AND GUIDELINES FOR NON-FIT-ELIGIBLE RENEWABLE ENERGY TECHNOLOGIES IN THE GREEN ENERGY AUCTION PROGRAM”</w:t>
            </w:r>
          </w:p>
          <w:p w14:paraId="2EA7B8D4" w14:textId="522381B4" w:rsidR="009D41CC" w:rsidRPr="00097ABB" w:rsidRDefault="009D41CC" w:rsidP="008E3468">
            <w:pPr>
              <w:jc w:val="both"/>
              <w:rPr>
                <w:rFonts w:ascii="Arial" w:hAnsi="Arial" w:cs="Arial"/>
              </w:rPr>
            </w:pPr>
          </w:p>
        </w:tc>
        <w:tc>
          <w:tcPr>
            <w:tcW w:w="5954" w:type="dxa"/>
          </w:tcPr>
          <w:p w14:paraId="736A791A" w14:textId="77777777" w:rsidR="009D41CC" w:rsidRPr="00097ABB" w:rsidRDefault="009D41CC" w:rsidP="00040EFE">
            <w:pPr>
              <w:jc w:val="center"/>
              <w:rPr>
                <w:rFonts w:ascii="Arial" w:hAnsi="Arial" w:cs="Arial"/>
                <w:b/>
                <w:bCs/>
              </w:rPr>
            </w:pPr>
          </w:p>
        </w:tc>
        <w:tc>
          <w:tcPr>
            <w:tcW w:w="5670" w:type="dxa"/>
          </w:tcPr>
          <w:p w14:paraId="56B4BD59" w14:textId="77777777" w:rsidR="009D41CC" w:rsidRPr="00097ABB" w:rsidRDefault="009D41CC" w:rsidP="00040EFE">
            <w:pPr>
              <w:jc w:val="center"/>
              <w:rPr>
                <w:rFonts w:ascii="Arial" w:hAnsi="Arial" w:cs="Arial"/>
                <w:b/>
                <w:bCs/>
              </w:rPr>
            </w:pPr>
          </w:p>
        </w:tc>
      </w:tr>
      <w:tr w:rsidR="009E602F" w:rsidRPr="00097ABB" w14:paraId="0E5A33FF" w14:textId="77777777" w:rsidTr="000266E5">
        <w:trPr>
          <w:trHeight w:val="262"/>
          <w:tblHeader/>
        </w:trPr>
        <w:tc>
          <w:tcPr>
            <w:tcW w:w="6799" w:type="dxa"/>
          </w:tcPr>
          <w:p w14:paraId="00B73A67" w14:textId="77777777" w:rsidR="0071449D" w:rsidRPr="00097ABB" w:rsidRDefault="0071449D" w:rsidP="0071449D">
            <w:pPr>
              <w:ind w:right="-46"/>
              <w:jc w:val="both"/>
              <w:rPr>
                <w:rFonts w:ascii="Arial" w:hAnsi="Arial" w:cs="Arial"/>
              </w:rPr>
            </w:pPr>
            <w:r w:rsidRPr="00097ABB">
              <w:rPr>
                <w:rFonts w:ascii="Arial" w:hAnsi="Arial" w:cs="Arial"/>
                <w:b/>
                <w:bCs/>
              </w:rPr>
              <w:t xml:space="preserve">WHEREAS, </w:t>
            </w:r>
            <w:r w:rsidRPr="00097ABB">
              <w:rPr>
                <w:rFonts w:ascii="Arial" w:hAnsi="Arial" w:cs="Arial"/>
              </w:rPr>
              <w:t>on 12 December 2023,</w:t>
            </w:r>
            <w:r w:rsidRPr="00097ABB">
              <w:rPr>
                <w:rFonts w:ascii="Arial" w:hAnsi="Arial" w:cs="Arial"/>
                <w:b/>
                <w:bCs/>
              </w:rPr>
              <w:t xml:space="preserve"> </w:t>
            </w:r>
            <w:r w:rsidRPr="00097ABB">
              <w:rPr>
                <w:rFonts w:ascii="Arial" w:hAnsi="Arial" w:cs="Arial"/>
              </w:rPr>
              <w:t>the Department of Energy (DOE) issued Department Circular (DC) No. DC2023-10-0029 titled, “Providing Specific Auction Policy and Guidelines for Non-FIT-Eligible Renewable Energy Technologies in the Green Energy Auction Program</w:t>
            </w:r>
            <w:proofErr w:type="gramStart"/>
            <w:r w:rsidRPr="00097ABB">
              <w:rPr>
                <w:rFonts w:ascii="Arial" w:hAnsi="Arial" w:cs="Arial"/>
              </w:rPr>
              <w:t>”;</w:t>
            </w:r>
            <w:proofErr w:type="gramEnd"/>
          </w:p>
          <w:p w14:paraId="4D491FC9" w14:textId="5B5EDF31" w:rsidR="009E602F" w:rsidRPr="00097ABB" w:rsidRDefault="009E602F" w:rsidP="00D632FF">
            <w:pPr>
              <w:tabs>
                <w:tab w:val="left" w:pos="2145"/>
              </w:tabs>
              <w:jc w:val="both"/>
              <w:rPr>
                <w:rFonts w:ascii="Arial" w:hAnsi="Arial" w:cs="Arial"/>
                <w:color w:val="FF0000"/>
              </w:rPr>
            </w:pPr>
          </w:p>
        </w:tc>
        <w:tc>
          <w:tcPr>
            <w:tcW w:w="5954" w:type="dxa"/>
          </w:tcPr>
          <w:p w14:paraId="09552FF3" w14:textId="77777777" w:rsidR="009E602F" w:rsidRPr="00097ABB" w:rsidRDefault="009E602F" w:rsidP="00040EFE">
            <w:pPr>
              <w:jc w:val="center"/>
              <w:rPr>
                <w:rFonts w:ascii="Arial" w:hAnsi="Arial" w:cs="Arial"/>
                <w:b/>
                <w:bCs/>
              </w:rPr>
            </w:pPr>
          </w:p>
        </w:tc>
        <w:tc>
          <w:tcPr>
            <w:tcW w:w="5670" w:type="dxa"/>
          </w:tcPr>
          <w:p w14:paraId="241D2D29" w14:textId="77777777" w:rsidR="009E602F" w:rsidRPr="00097ABB" w:rsidRDefault="009E602F" w:rsidP="00040EFE">
            <w:pPr>
              <w:jc w:val="center"/>
              <w:rPr>
                <w:rFonts w:ascii="Arial" w:hAnsi="Arial" w:cs="Arial"/>
                <w:b/>
                <w:bCs/>
              </w:rPr>
            </w:pPr>
          </w:p>
        </w:tc>
      </w:tr>
      <w:tr w:rsidR="00E85B0B" w:rsidRPr="00097ABB" w14:paraId="62888F61" w14:textId="77777777" w:rsidTr="000266E5">
        <w:trPr>
          <w:trHeight w:val="262"/>
          <w:tblHeader/>
        </w:trPr>
        <w:tc>
          <w:tcPr>
            <w:tcW w:w="6799" w:type="dxa"/>
          </w:tcPr>
          <w:p w14:paraId="1B626DAB" w14:textId="77777777" w:rsidR="00B34739" w:rsidRPr="00097ABB" w:rsidRDefault="00B34739" w:rsidP="00B34739">
            <w:pPr>
              <w:ind w:right="-46"/>
              <w:jc w:val="both"/>
              <w:rPr>
                <w:rFonts w:ascii="Arial" w:hAnsi="Arial" w:cs="Arial"/>
              </w:rPr>
            </w:pPr>
            <w:r w:rsidRPr="00097ABB">
              <w:rPr>
                <w:rFonts w:ascii="Arial" w:hAnsi="Arial" w:cs="Arial"/>
                <w:b/>
                <w:bCs/>
              </w:rPr>
              <w:t xml:space="preserve">WHEREAS, </w:t>
            </w:r>
            <w:r w:rsidRPr="00097ABB">
              <w:rPr>
                <w:rFonts w:ascii="Arial" w:hAnsi="Arial" w:cs="Arial"/>
              </w:rPr>
              <w:t>on 25 March 2024,</w:t>
            </w:r>
            <w:r w:rsidRPr="00097ABB">
              <w:rPr>
                <w:rFonts w:ascii="Arial" w:hAnsi="Arial" w:cs="Arial"/>
                <w:b/>
                <w:bCs/>
              </w:rPr>
              <w:t xml:space="preserve"> </w:t>
            </w:r>
            <w:r w:rsidRPr="00097ABB">
              <w:rPr>
                <w:rFonts w:ascii="Arial" w:hAnsi="Arial" w:cs="Arial"/>
              </w:rPr>
              <w:t xml:space="preserve">the DOE issued amendments to the above DC clarifying that the Energy Regulatory Commission (ERC) shall promulgate the rules on the Price Determination Methodology (PDM) for Non-FIT-Eligible RE Technologies in the </w:t>
            </w:r>
            <w:proofErr w:type="gramStart"/>
            <w:r w:rsidRPr="00097ABB">
              <w:rPr>
                <w:rFonts w:ascii="Arial" w:hAnsi="Arial" w:cs="Arial"/>
              </w:rPr>
              <w:t>GEAP;</w:t>
            </w:r>
            <w:proofErr w:type="gramEnd"/>
          </w:p>
          <w:p w14:paraId="5ABD15DF" w14:textId="6CA8727B" w:rsidR="00E85B0B" w:rsidRPr="00097ABB" w:rsidRDefault="00E85B0B" w:rsidP="7DB4BAA9">
            <w:pPr>
              <w:jc w:val="both"/>
              <w:rPr>
                <w:rFonts w:ascii="Arial" w:hAnsi="Arial" w:cs="Arial"/>
                <w:color w:val="FF0000"/>
              </w:rPr>
            </w:pPr>
          </w:p>
        </w:tc>
        <w:tc>
          <w:tcPr>
            <w:tcW w:w="5954" w:type="dxa"/>
          </w:tcPr>
          <w:p w14:paraId="22FD0267" w14:textId="77777777" w:rsidR="00E85B0B" w:rsidRPr="00097ABB" w:rsidRDefault="00E85B0B" w:rsidP="00040EFE">
            <w:pPr>
              <w:jc w:val="center"/>
              <w:rPr>
                <w:rFonts w:ascii="Arial" w:hAnsi="Arial" w:cs="Arial"/>
                <w:b/>
                <w:bCs/>
              </w:rPr>
            </w:pPr>
          </w:p>
        </w:tc>
        <w:tc>
          <w:tcPr>
            <w:tcW w:w="5670" w:type="dxa"/>
          </w:tcPr>
          <w:p w14:paraId="5F51DC98" w14:textId="77777777" w:rsidR="00E85B0B" w:rsidRPr="00097ABB" w:rsidRDefault="00E85B0B" w:rsidP="00040EFE">
            <w:pPr>
              <w:jc w:val="center"/>
              <w:rPr>
                <w:rFonts w:ascii="Arial" w:hAnsi="Arial" w:cs="Arial"/>
                <w:b/>
                <w:bCs/>
              </w:rPr>
            </w:pPr>
          </w:p>
        </w:tc>
      </w:tr>
      <w:tr w:rsidR="00E85B0B" w:rsidRPr="00097ABB" w14:paraId="267B3404" w14:textId="77777777" w:rsidTr="000266E5">
        <w:trPr>
          <w:trHeight w:val="262"/>
          <w:tblHeader/>
        </w:trPr>
        <w:tc>
          <w:tcPr>
            <w:tcW w:w="6799" w:type="dxa"/>
          </w:tcPr>
          <w:p w14:paraId="24A230DD" w14:textId="77777777" w:rsidR="006C6215" w:rsidRPr="00097ABB" w:rsidRDefault="006C6215" w:rsidP="006C6215">
            <w:pPr>
              <w:ind w:right="-46"/>
              <w:jc w:val="both"/>
              <w:rPr>
                <w:rFonts w:ascii="Arial" w:hAnsi="Arial" w:cs="Arial"/>
                <w:bCs/>
              </w:rPr>
            </w:pPr>
            <w:proofErr w:type="gramStart"/>
            <w:r w:rsidRPr="00097ABB">
              <w:rPr>
                <w:rFonts w:ascii="Arial" w:hAnsi="Arial" w:cs="Arial"/>
                <w:b/>
                <w:bCs/>
              </w:rPr>
              <w:t>WHEREAS,</w:t>
            </w:r>
            <w:proofErr w:type="gramEnd"/>
            <w:r w:rsidRPr="00097ABB">
              <w:rPr>
                <w:rFonts w:ascii="Arial" w:hAnsi="Arial" w:cs="Arial"/>
                <w:b/>
                <w:bCs/>
              </w:rPr>
              <w:t xml:space="preserve"> </w:t>
            </w:r>
            <w:r w:rsidRPr="00097ABB">
              <w:rPr>
                <w:rFonts w:ascii="Arial" w:hAnsi="Arial" w:cs="Arial"/>
              </w:rPr>
              <w:t xml:space="preserve">Section 7 of said DC2023-10-0029 provides that </w:t>
            </w:r>
            <w:r w:rsidRPr="00097ABB">
              <w:rPr>
                <w:rFonts w:ascii="Arial" w:hAnsi="Arial" w:cs="Arial"/>
                <w:bCs/>
              </w:rPr>
              <w:t>the payment and settlement for the Non-FIT GET to the Non-FIT Eligible RE Facilities of GEA Winning Bidders shall be collected and administer through the WESM by the Market Operator.</w:t>
            </w:r>
          </w:p>
          <w:p w14:paraId="120C8D29" w14:textId="02DA397B" w:rsidR="00FD111F" w:rsidRPr="00097ABB" w:rsidRDefault="00FD111F" w:rsidP="7DB4BAA9">
            <w:pPr>
              <w:jc w:val="both"/>
              <w:rPr>
                <w:rFonts w:ascii="Arial" w:hAnsi="Arial" w:cs="Arial"/>
                <w:color w:val="FF0000"/>
              </w:rPr>
            </w:pPr>
          </w:p>
        </w:tc>
        <w:tc>
          <w:tcPr>
            <w:tcW w:w="5954" w:type="dxa"/>
          </w:tcPr>
          <w:p w14:paraId="06901A97" w14:textId="77777777" w:rsidR="00E85B0B" w:rsidRPr="00097ABB" w:rsidRDefault="00E85B0B" w:rsidP="00040EFE">
            <w:pPr>
              <w:jc w:val="center"/>
              <w:rPr>
                <w:rFonts w:ascii="Arial" w:hAnsi="Arial" w:cs="Arial"/>
                <w:b/>
                <w:bCs/>
              </w:rPr>
            </w:pPr>
          </w:p>
        </w:tc>
        <w:tc>
          <w:tcPr>
            <w:tcW w:w="5670" w:type="dxa"/>
          </w:tcPr>
          <w:p w14:paraId="6158CB46" w14:textId="77777777" w:rsidR="00E85B0B" w:rsidRPr="00097ABB" w:rsidRDefault="00E85B0B" w:rsidP="00040EFE">
            <w:pPr>
              <w:jc w:val="center"/>
              <w:rPr>
                <w:rFonts w:ascii="Arial" w:hAnsi="Arial" w:cs="Arial"/>
                <w:b/>
                <w:bCs/>
              </w:rPr>
            </w:pPr>
          </w:p>
        </w:tc>
      </w:tr>
      <w:tr w:rsidR="007633D2" w:rsidRPr="00097ABB" w14:paraId="4606479A" w14:textId="77777777" w:rsidTr="000266E5">
        <w:trPr>
          <w:trHeight w:val="1141"/>
          <w:tblHeader/>
        </w:trPr>
        <w:tc>
          <w:tcPr>
            <w:tcW w:w="6799" w:type="dxa"/>
          </w:tcPr>
          <w:p w14:paraId="17380F68" w14:textId="77777777" w:rsidR="001F1D2A" w:rsidRPr="00097ABB" w:rsidRDefault="001F1D2A" w:rsidP="001F1D2A">
            <w:pPr>
              <w:ind w:right="-46"/>
              <w:jc w:val="both"/>
              <w:rPr>
                <w:rFonts w:ascii="Arial" w:hAnsi="Arial" w:cs="Arial"/>
              </w:rPr>
            </w:pPr>
            <w:proofErr w:type="gramStart"/>
            <w:r w:rsidRPr="00097ABB">
              <w:rPr>
                <w:rFonts w:ascii="Arial" w:hAnsi="Arial" w:cs="Arial"/>
                <w:b/>
                <w:bCs/>
              </w:rPr>
              <w:t>WHEREAS,</w:t>
            </w:r>
            <w:proofErr w:type="gramEnd"/>
            <w:r w:rsidRPr="00097ABB">
              <w:rPr>
                <w:rFonts w:ascii="Arial" w:hAnsi="Arial" w:cs="Arial"/>
                <w:b/>
                <w:bCs/>
              </w:rPr>
              <w:t xml:space="preserve"> </w:t>
            </w:r>
            <w:r w:rsidRPr="00097ABB">
              <w:rPr>
                <w:rFonts w:ascii="Arial" w:hAnsi="Arial" w:cs="Arial"/>
              </w:rPr>
              <w:t>Pumped-Storage Hydropower (PSH) is distinct from Geothermal and Impounding Hydro Facilities due to its combined ability to store and generate energy and capability to provide ancillary services and grid support;</w:t>
            </w:r>
          </w:p>
          <w:p w14:paraId="0473989A" w14:textId="1440DBAC" w:rsidR="007633D2" w:rsidRPr="00097ABB" w:rsidRDefault="007633D2" w:rsidP="00D632FF">
            <w:pPr>
              <w:jc w:val="both"/>
              <w:rPr>
                <w:rFonts w:ascii="Arial" w:hAnsi="Arial" w:cs="Arial"/>
                <w:color w:val="FF0000"/>
              </w:rPr>
            </w:pPr>
          </w:p>
        </w:tc>
        <w:tc>
          <w:tcPr>
            <w:tcW w:w="5954" w:type="dxa"/>
          </w:tcPr>
          <w:p w14:paraId="61B2052F" w14:textId="77777777" w:rsidR="007633D2" w:rsidRPr="00097ABB" w:rsidRDefault="007633D2" w:rsidP="00040EFE">
            <w:pPr>
              <w:jc w:val="center"/>
              <w:rPr>
                <w:rFonts w:ascii="Arial" w:hAnsi="Arial" w:cs="Arial"/>
                <w:b/>
                <w:bCs/>
              </w:rPr>
            </w:pPr>
          </w:p>
        </w:tc>
        <w:tc>
          <w:tcPr>
            <w:tcW w:w="5670" w:type="dxa"/>
          </w:tcPr>
          <w:p w14:paraId="057DCBF6" w14:textId="77777777" w:rsidR="007633D2" w:rsidRPr="00097ABB" w:rsidRDefault="007633D2" w:rsidP="00040EFE">
            <w:pPr>
              <w:jc w:val="center"/>
              <w:rPr>
                <w:rFonts w:ascii="Arial" w:hAnsi="Arial" w:cs="Arial"/>
                <w:b/>
                <w:bCs/>
              </w:rPr>
            </w:pPr>
          </w:p>
        </w:tc>
      </w:tr>
      <w:tr w:rsidR="003E3602" w:rsidRPr="00097ABB" w14:paraId="0C67F749" w14:textId="77777777" w:rsidTr="000266E5">
        <w:trPr>
          <w:trHeight w:val="1129"/>
          <w:tblHeader/>
        </w:trPr>
        <w:tc>
          <w:tcPr>
            <w:tcW w:w="6799" w:type="dxa"/>
          </w:tcPr>
          <w:p w14:paraId="4A7E7034" w14:textId="77777777" w:rsidR="00EF257C" w:rsidRPr="00097ABB" w:rsidRDefault="00EF257C" w:rsidP="00EF257C">
            <w:pPr>
              <w:ind w:right="-46"/>
              <w:jc w:val="both"/>
              <w:rPr>
                <w:rFonts w:ascii="Arial" w:hAnsi="Arial" w:cs="Arial"/>
              </w:rPr>
            </w:pPr>
            <w:proofErr w:type="gramStart"/>
            <w:r w:rsidRPr="00097ABB">
              <w:rPr>
                <w:rFonts w:ascii="Arial" w:hAnsi="Arial" w:cs="Arial"/>
                <w:b/>
                <w:bCs/>
              </w:rPr>
              <w:t>WHEREAS,</w:t>
            </w:r>
            <w:proofErr w:type="gramEnd"/>
            <w:r w:rsidRPr="00097ABB">
              <w:rPr>
                <w:rFonts w:ascii="Arial" w:hAnsi="Arial" w:cs="Arial"/>
                <w:b/>
                <w:bCs/>
              </w:rPr>
              <w:t xml:space="preserve"> </w:t>
            </w:r>
            <w:r w:rsidRPr="00097ABB">
              <w:rPr>
                <w:rFonts w:ascii="Arial" w:hAnsi="Arial" w:cs="Arial"/>
              </w:rPr>
              <w:t xml:space="preserve">there is a need to provide a separate settlement mechanism for PSH Facilities that takes into account their design and operational characteristics having the capability to support greater entry of variable REs and power system flexibility;  </w:t>
            </w:r>
          </w:p>
          <w:p w14:paraId="6F19638E" w14:textId="35A8D00A" w:rsidR="00CE4CAD" w:rsidRPr="00097ABB" w:rsidRDefault="00CE4CAD" w:rsidP="7DB4BAA9">
            <w:pPr>
              <w:jc w:val="both"/>
              <w:rPr>
                <w:rFonts w:ascii="Arial" w:hAnsi="Arial" w:cs="Arial"/>
              </w:rPr>
            </w:pPr>
          </w:p>
        </w:tc>
        <w:tc>
          <w:tcPr>
            <w:tcW w:w="5954" w:type="dxa"/>
          </w:tcPr>
          <w:p w14:paraId="3C0D3C17" w14:textId="77777777" w:rsidR="003E3602" w:rsidRPr="00097ABB" w:rsidRDefault="003E3602" w:rsidP="00040EFE">
            <w:pPr>
              <w:jc w:val="center"/>
              <w:rPr>
                <w:rFonts w:ascii="Arial" w:hAnsi="Arial" w:cs="Arial"/>
                <w:b/>
                <w:bCs/>
              </w:rPr>
            </w:pPr>
          </w:p>
        </w:tc>
        <w:tc>
          <w:tcPr>
            <w:tcW w:w="5670" w:type="dxa"/>
          </w:tcPr>
          <w:p w14:paraId="62C721C9" w14:textId="77777777" w:rsidR="003E3602" w:rsidRPr="00097ABB" w:rsidRDefault="003E3602" w:rsidP="00040EFE">
            <w:pPr>
              <w:jc w:val="center"/>
              <w:rPr>
                <w:rFonts w:ascii="Arial" w:hAnsi="Arial" w:cs="Arial"/>
                <w:b/>
                <w:bCs/>
              </w:rPr>
            </w:pPr>
          </w:p>
        </w:tc>
      </w:tr>
      <w:tr w:rsidR="003E3602" w:rsidRPr="00097ABB" w14:paraId="5A92C0A1" w14:textId="77777777" w:rsidTr="000266E5">
        <w:trPr>
          <w:trHeight w:val="1116"/>
          <w:tblHeader/>
        </w:trPr>
        <w:tc>
          <w:tcPr>
            <w:tcW w:w="6799" w:type="dxa"/>
          </w:tcPr>
          <w:p w14:paraId="52F5EC05" w14:textId="77777777" w:rsidR="00303B72" w:rsidRPr="00097ABB" w:rsidRDefault="00303B72" w:rsidP="00303B72">
            <w:pPr>
              <w:ind w:right="-46"/>
              <w:jc w:val="both"/>
              <w:rPr>
                <w:rFonts w:ascii="Arial" w:hAnsi="Arial" w:cs="Arial"/>
              </w:rPr>
            </w:pPr>
            <w:r w:rsidRPr="00097ABB">
              <w:rPr>
                <w:rFonts w:ascii="Arial" w:hAnsi="Arial" w:cs="Arial"/>
                <w:b/>
                <w:bCs/>
              </w:rPr>
              <w:lastRenderedPageBreak/>
              <w:t xml:space="preserve">NOW, THEREFORE, </w:t>
            </w:r>
            <w:r w:rsidRPr="00097ABB">
              <w:rPr>
                <w:rFonts w:ascii="Arial" w:hAnsi="Arial" w:cs="Arial"/>
              </w:rPr>
              <w:t>pursuant to its authority under Republic Act No. 9513, or the Renewable Energy Act of 2008, the DOE hereby adopts, issues, and promulgates the following amendments to DC No. DC2023-10-0029:</w:t>
            </w:r>
          </w:p>
          <w:p w14:paraId="373AAE16" w14:textId="20ADA3CC" w:rsidR="00D632FF" w:rsidRPr="00097ABB" w:rsidRDefault="00D632FF" w:rsidP="00D632FF">
            <w:pPr>
              <w:tabs>
                <w:tab w:val="left" w:pos="4350"/>
              </w:tabs>
              <w:rPr>
                <w:rFonts w:ascii="Arial" w:hAnsi="Arial" w:cs="Arial"/>
              </w:rPr>
            </w:pPr>
          </w:p>
        </w:tc>
        <w:tc>
          <w:tcPr>
            <w:tcW w:w="5954" w:type="dxa"/>
          </w:tcPr>
          <w:p w14:paraId="613542CE" w14:textId="77777777" w:rsidR="003E3602" w:rsidRPr="00097ABB" w:rsidRDefault="003E3602" w:rsidP="00040EFE">
            <w:pPr>
              <w:jc w:val="center"/>
              <w:rPr>
                <w:rFonts w:ascii="Arial" w:hAnsi="Arial" w:cs="Arial"/>
                <w:b/>
                <w:bCs/>
              </w:rPr>
            </w:pPr>
          </w:p>
        </w:tc>
        <w:tc>
          <w:tcPr>
            <w:tcW w:w="5670" w:type="dxa"/>
          </w:tcPr>
          <w:p w14:paraId="5350B73F" w14:textId="77777777" w:rsidR="003E3602" w:rsidRPr="00097ABB" w:rsidRDefault="003E3602" w:rsidP="00040EFE">
            <w:pPr>
              <w:jc w:val="center"/>
              <w:rPr>
                <w:rFonts w:ascii="Arial" w:hAnsi="Arial" w:cs="Arial"/>
                <w:b/>
                <w:bCs/>
              </w:rPr>
            </w:pPr>
          </w:p>
        </w:tc>
      </w:tr>
      <w:tr w:rsidR="003E3602" w:rsidRPr="00097ABB" w14:paraId="39CC7D9F" w14:textId="77777777" w:rsidTr="000266E5">
        <w:trPr>
          <w:trHeight w:val="2117"/>
          <w:tblHeader/>
        </w:trPr>
        <w:tc>
          <w:tcPr>
            <w:tcW w:w="6799" w:type="dxa"/>
          </w:tcPr>
          <w:p w14:paraId="2B82E822" w14:textId="77777777" w:rsidR="00D632FF" w:rsidRPr="00097ABB" w:rsidRDefault="00D632FF" w:rsidP="00D632FF">
            <w:pPr>
              <w:jc w:val="both"/>
              <w:rPr>
                <w:rFonts w:ascii="Arial" w:hAnsi="Arial" w:cs="Arial"/>
              </w:rPr>
            </w:pPr>
          </w:p>
          <w:p w14:paraId="20DC0E2C" w14:textId="77777777" w:rsidR="00262E7B" w:rsidRPr="00097ABB" w:rsidRDefault="00262E7B" w:rsidP="00262E7B">
            <w:pPr>
              <w:ind w:right="521"/>
              <w:jc w:val="both"/>
              <w:rPr>
                <w:rFonts w:ascii="Arial" w:hAnsi="Arial" w:cs="Arial"/>
              </w:rPr>
            </w:pPr>
            <w:r w:rsidRPr="00097ABB">
              <w:rPr>
                <w:rFonts w:ascii="Arial" w:hAnsi="Arial" w:cs="Arial"/>
                <w:b/>
                <w:bCs/>
              </w:rPr>
              <w:t xml:space="preserve">Section 1. </w:t>
            </w:r>
            <w:r w:rsidRPr="00097ABB">
              <w:rPr>
                <w:rFonts w:ascii="Arial" w:hAnsi="Arial" w:cs="Arial"/>
              </w:rPr>
              <w:t>Section 4 is hereby amended to read as follows:</w:t>
            </w:r>
          </w:p>
          <w:p w14:paraId="3518600A" w14:textId="77777777" w:rsidR="00262E7B" w:rsidRPr="00097ABB" w:rsidRDefault="00262E7B" w:rsidP="00262E7B">
            <w:pPr>
              <w:ind w:right="521"/>
              <w:jc w:val="both"/>
              <w:rPr>
                <w:rFonts w:ascii="Arial" w:hAnsi="Arial" w:cs="Arial"/>
              </w:rPr>
            </w:pPr>
          </w:p>
          <w:p w14:paraId="03292000" w14:textId="7DED48C4" w:rsidR="00262E7B" w:rsidRPr="00097ABB" w:rsidRDefault="00262E7B" w:rsidP="00097ABB">
            <w:pPr>
              <w:ind w:left="720" w:right="521"/>
              <w:jc w:val="both"/>
              <w:rPr>
                <w:rFonts w:ascii="Arial" w:hAnsi="Arial" w:cs="Arial"/>
              </w:rPr>
            </w:pPr>
            <w:r w:rsidRPr="00097ABB">
              <w:rPr>
                <w:rFonts w:ascii="Arial" w:hAnsi="Arial" w:cs="Arial"/>
              </w:rPr>
              <w:t>xxx</w:t>
            </w:r>
            <w:r w:rsidRPr="00097ABB">
              <w:rPr>
                <w:rFonts w:ascii="Arial" w:hAnsi="Arial" w:cs="Arial"/>
              </w:rPr>
              <w:tab/>
            </w:r>
            <w:r w:rsidR="00097ABB">
              <w:rPr>
                <w:rFonts w:ascii="Arial" w:hAnsi="Arial" w:cs="Arial"/>
              </w:rPr>
              <w:tab/>
            </w:r>
            <w:proofErr w:type="spellStart"/>
            <w:r w:rsidRPr="00097ABB">
              <w:rPr>
                <w:rFonts w:ascii="Arial" w:hAnsi="Arial" w:cs="Arial"/>
              </w:rPr>
              <w:t>xxx</w:t>
            </w:r>
            <w:proofErr w:type="spellEnd"/>
            <w:r w:rsidRPr="00097ABB">
              <w:rPr>
                <w:rFonts w:ascii="Arial" w:hAnsi="Arial" w:cs="Arial"/>
              </w:rPr>
              <w:tab/>
            </w:r>
            <w:r w:rsidR="00097ABB">
              <w:rPr>
                <w:rFonts w:ascii="Arial" w:hAnsi="Arial" w:cs="Arial"/>
              </w:rPr>
              <w:tab/>
            </w:r>
            <w:r w:rsidRPr="00097ABB">
              <w:rPr>
                <w:rFonts w:ascii="Arial" w:hAnsi="Arial" w:cs="Arial"/>
              </w:rPr>
              <w:t>xxx</w:t>
            </w:r>
            <w:r w:rsidRPr="00097ABB">
              <w:rPr>
                <w:rFonts w:ascii="Arial" w:hAnsi="Arial" w:cs="Arial"/>
              </w:rPr>
              <w:tab/>
            </w:r>
            <w:r w:rsidR="00097ABB">
              <w:rPr>
                <w:rFonts w:ascii="Arial" w:hAnsi="Arial" w:cs="Arial"/>
              </w:rPr>
              <w:tab/>
            </w:r>
            <w:proofErr w:type="spellStart"/>
            <w:r w:rsidRPr="00097ABB">
              <w:rPr>
                <w:rFonts w:ascii="Arial" w:hAnsi="Arial" w:cs="Arial"/>
              </w:rPr>
              <w:t>xxx</w:t>
            </w:r>
            <w:proofErr w:type="spellEnd"/>
            <w:r w:rsidRPr="00097ABB">
              <w:rPr>
                <w:rFonts w:ascii="Arial" w:hAnsi="Arial" w:cs="Arial"/>
              </w:rPr>
              <w:t xml:space="preserve">  </w:t>
            </w:r>
          </w:p>
          <w:p w14:paraId="5BBD5499" w14:textId="77777777" w:rsidR="00262E7B" w:rsidRPr="00097ABB" w:rsidRDefault="00262E7B" w:rsidP="00262E7B">
            <w:pPr>
              <w:ind w:right="521"/>
              <w:jc w:val="both"/>
              <w:rPr>
                <w:rFonts w:ascii="Arial" w:hAnsi="Arial" w:cs="Arial"/>
              </w:rPr>
            </w:pPr>
          </w:p>
          <w:p w14:paraId="09635F0F" w14:textId="77777777" w:rsidR="00262E7B" w:rsidRPr="00097ABB" w:rsidRDefault="00262E7B" w:rsidP="00262E7B">
            <w:pPr>
              <w:pStyle w:val="ListParagraph"/>
              <w:ind w:right="521"/>
              <w:jc w:val="both"/>
              <w:rPr>
                <w:rFonts w:ascii="Arial" w:hAnsi="Arial" w:cs="Arial"/>
                <w:bCs/>
                <w:color w:val="auto"/>
                <w:sz w:val="22"/>
                <w:szCs w:val="22"/>
              </w:rPr>
            </w:pPr>
            <w:r w:rsidRPr="00097ABB">
              <w:rPr>
                <w:rFonts w:ascii="Arial" w:hAnsi="Arial" w:cs="Arial"/>
                <w:sz w:val="22"/>
                <w:szCs w:val="22"/>
              </w:rPr>
              <w:t>“</w:t>
            </w:r>
            <w:r w:rsidRPr="00097ABB">
              <w:rPr>
                <w:rFonts w:ascii="Arial" w:hAnsi="Arial" w:cs="Arial"/>
                <w:b/>
                <w:bCs/>
                <w:i/>
                <w:iCs/>
                <w:color w:val="auto"/>
                <w:sz w:val="22"/>
                <w:szCs w:val="22"/>
              </w:rPr>
              <w:t>b.</w:t>
            </w:r>
            <w:r w:rsidRPr="00097ABB">
              <w:rPr>
                <w:rFonts w:ascii="Arial" w:hAnsi="Arial" w:cs="Arial"/>
                <w:b/>
                <w:i/>
                <w:iCs/>
                <w:color w:val="auto"/>
                <w:sz w:val="22"/>
                <w:szCs w:val="22"/>
              </w:rPr>
              <w:t xml:space="preserve"> Non-FIT Green Energy Tariff (Non-FIT GET) </w:t>
            </w:r>
            <w:r w:rsidRPr="00097ABB">
              <w:rPr>
                <w:rFonts w:ascii="Arial" w:hAnsi="Arial" w:cs="Arial"/>
                <w:bCs/>
                <w:color w:val="auto"/>
                <w:sz w:val="22"/>
                <w:szCs w:val="22"/>
              </w:rPr>
              <w:t xml:space="preserve">- refers to the Price Offer, in </w:t>
            </w:r>
            <w:proofErr w:type="spellStart"/>
            <w:r w:rsidRPr="00097ABB">
              <w:rPr>
                <w:rFonts w:ascii="Arial" w:hAnsi="Arial" w:cs="Arial"/>
                <w:bCs/>
                <w:color w:val="auto"/>
                <w:sz w:val="22"/>
                <w:szCs w:val="22"/>
              </w:rPr>
              <w:t>PhP</w:t>
            </w:r>
            <w:proofErr w:type="spellEnd"/>
            <w:r w:rsidRPr="00097ABB">
              <w:rPr>
                <w:rFonts w:ascii="Arial" w:hAnsi="Arial" w:cs="Arial"/>
                <w:bCs/>
                <w:color w:val="auto"/>
                <w:sz w:val="22"/>
                <w:szCs w:val="22"/>
              </w:rPr>
              <w:t xml:space="preserve">/kWh, approved by the Energy Regulatory Commission (ERC) in accordance with Section 6 hereof after the conduct of each GEA for Non-FIT-Eligible RE technology corresponding to each Winning Bidder on a pay-as-bid basis: </w:t>
            </w:r>
            <w:r w:rsidRPr="00097ABB">
              <w:rPr>
                <w:rFonts w:ascii="Arial" w:hAnsi="Arial" w:cs="Arial"/>
                <w:bCs/>
                <w:i/>
                <w:iCs/>
                <w:color w:val="auto"/>
                <w:sz w:val="22"/>
                <w:szCs w:val="22"/>
              </w:rPr>
              <w:t>Provided,</w:t>
            </w:r>
            <w:r w:rsidRPr="00097ABB">
              <w:rPr>
                <w:rFonts w:ascii="Arial" w:hAnsi="Arial" w:cs="Arial"/>
                <w:bCs/>
                <w:color w:val="auto"/>
                <w:sz w:val="22"/>
                <w:szCs w:val="22"/>
              </w:rPr>
              <w:t xml:space="preserve"> That the Non-FIT GET for PSH shall be the Price Offer in </w:t>
            </w:r>
            <w:proofErr w:type="spellStart"/>
            <w:r w:rsidRPr="00097ABB">
              <w:rPr>
                <w:rFonts w:ascii="Arial" w:hAnsi="Arial" w:cs="Arial"/>
                <w:bCs/>
                <w:color w:val="auto"/>
                <w:sz w:val="22"/>
                <w:szCs w:val="22"/>
              </w:rPr>
              <w:t>PhP</w:t>
            </w:r>
            <w:proofErr w:type="spellEnd"/>
            <w:r w:rsidRPr="00097ABB">
              <w:rPr>
                <w:rFonts w:ascii="Arial" w:hAnsi="Arial" w:cs="Arial"/>
                <w:bCs/>
                <w:color w:val="auto"/>
                <w:sz w:val="22"/>
                <w:szCs w:val="22"/>
              </w:rPr>
              <w:t>/kW/h;</w:t>
            </w:r>
          </w:p>
          <w:p w14:paraId="44427507" w14:textId="77777777" w:rsidR="00262E7B" w:rsidRPr="00097ABB" w:rsidRDefault="00262E7B" w:rsidP="00262E7B">
            <w:pPr>
              <w:pStyle w:val="ListParagraph"/>
              <w:ind w:right="521"/>
              <w:jc w:val="both"/>
              <w:rPr>
                <w:rFonts w:ascii="Arial" w:hAnsi="Arial" w:cs="Arial"/>
                <w:color w:val="auto"/>
                <w:sz w:val="22"/>
                <w:szCs w:val="22"/>
              </w:rPr>
            </w:pPr>
          </w:p>
          <w:p w14:paraId="44905852" w14:textId="77777777" w:rsidR="00262E7B" w:rsidRDefault="00262E7B" w:rsidP="00262E7B">
            <w:pPr>
              <w:pStyle w:val="ListParagraph"/>
              <w:ind w:right="521"/>
              <w:jc w:val="both"/>
              <w:rPr>
                <w:rFonts w:ascii="Arial" w:hAnsi="Arial" w:cs="Arial"/>
                <w:bCs/>
                <w:color w:val="auto"/>
                <w:sz w:val="22"/>
                <w:szCs w:val="22"/>
              </w:rPr>
            </w:pPr>
            <w:r w:rsidRPr="00097ABB">
              <w:rPr>
                <w:rFonts w:ascii="Arial" w:hAnsi="Arial" w:cs="Arial"/>
                <w:b/>
                <w:bCs/>
                <w:i/>
                <w:iCs/>
                <w:color w:val="auto"/>
                <w:sz w:val="22"/>
                <w:szCs w:val="22"/>
              </w:rPr>
              <w:t>c.</w:t>
            </w:r>
            <w:r w:rsidRPr="00097ABB">
              <w:rPr>
                <w:rFonts w:ascii="Arial" w:hAnsi="Arial" w:cs="Arial"/>
                <w:b/>
                <w:i/>
                <w:iCs/>
                <w:color w:val="auto"/>
                <w:sz w:val="22"/>
                <w:szCs w:val="22"/>
              </w:rPr>
              <w:t xml:space="preserve"> Price Offer – </w:t>
            </w:r>
            <w:r w:rsidRPr="00097ABB">
              <w:rPr>
                <w:rFonts w:ascii="Arial" w:hAnsi="Arial" w:cs="Arial"/>
                <w:bCs/>
                <w:color w:val="auto"/>
                <w:sz w:val="22"/>
                <w:szCs w:val="22"/>
              </w:rPr>
              <w:t xml:space="preserve">refers, in each Auction Round, to the price in </w:t>
            </w:r>
            <w:proofErr w:type="spellStart"/>
            <w:r w:rsidRPr="00097ABB">
              <w:rPr>
                <w:rFonts w:ascii="Arial" w:hAnsi="Arial" w:cs="Arial"/>
                <w:bCs/>
                <w:color w:val="auto"/>
                <w:sz w:val="22"/>
                <w:szCs w:val="22"/>
              </w:rPr>
              <w:t>PhP</w:t>
            </w:r>
            <w:proofErr w:type="spellEnd"/>
            <w:r w:rsidRPr="00097ABB">
              <w:rPr>
                <w:rFonts w:ascii="Arial" w:hAnsi="Arial" w:cs="Arial"/>
                <w:bCs/>
                <w:color w:val="auto"/>
                <w:sz w:val="22"/>
                <w:szCs w:val="22"/>
              </w:rPr>
              <w:t xml:space="preserve">/kWh that a Qualified Bidder offers for energy generated or to be generated by its Non-FIT-Eligible RE Facility: </w:t>
            </w:r>
            <w:r w:rsidRPr="00097ABB">
              <w:rPr>
                <w:rFonts w:ascii="Arial" w:hAnsi="Arial" w:cs="Arial"/>
                <w:bCs/>
                <w:i/>
                <w:iCs/>
                <w:color w:val="auto"/>
                <w:sz w:val="22"/>
                <w:szCs w:val="22"/>
              </w:rPr>
              <w:t>Provided,</w:t>
            </w:r>
            <w:r w:rsidRPr="00097ABB">
              <w:rPr>
                <w:rFonts w:ascii="Arial" w:hAnsi="Arial" w:cs="Arial"/>
                <w:bCs/>
                <w:color w:val="auto"/>
                <w:sz w:val="22"/>
                <w:szCs w:val="22"/>
              </w:rPr>
              <w:t xml:space="preserve"> That the Price Offer for PSH shall be the price in </w:t>
            </w:r>
            <w:proofErr w:type="spellStart"/>
            <w:r w:rsidRPr="00097ABB">
              <w:rPr>
                <w:rFonts w:ascii="Arial" w:hAnsi="Arial" w:cs="Arial"/>
                <w:bCs/>
                <w:color w:val="auto"/>
                <w:sz w:val="22"/>
                <w:szCs w:val="22"/>
              </w:rPr>
              <w:t>PhP</w:t>
            </w:r>
            <w:proofErr w:type="spellEnd"/>
            <w:r w:rsidRPr="00097ABB">
              <w:rPr>
                <w:rFonts w:ascii="Arial" w:hAnsi="Arial" w:cs="Arial"/>
                <w:bCs/>
                <w:color w:val="auto"/>
                <w:sz w:val="22"/>
                <w:szCs w:val="22"/>
              </w:rPr>
              <w:t xml:space="preserve">/kW/h for the Available Capacity of the PSH </w:t>
            </w:r>
            <w:proofErr w:type="gramStart"/>
            <w:r w:rsidRPr="00097ABB">
              <w:rPr>
                <w:rFonts w:ascii="Arial" w:hAnsi="Arial" w:cs="Arial"/>
                <w:bCs/>
                <w:color w:val="auto"/>
                <w:sz w:val="22"/>
                <w:szCs w:val="22"/>
              </w:rPr>
              <w:t>Facility;</w:t>
            </w:r>
            <w:proofErr w:type="gramEnd"/>
          </w:p>
          <w:p w14:paraId="6D95A14C" w14:textId="77777777" w:rsidR="00097ABB" w:rsidRPr="00097ABB" w:rsidRDefault="00097ABB" w:rsidP="00262E7B">
            <w:pPr>
              <w:pStyle w:val="ListParagraph"/>
              <w:ind w:right="521"/>
              <w:jc w:val="both"/>
              <w:rPr>
                <w:rFonts w:ascii="Arial" w:hAnsi="Arial" w:cs="Arial"/>
                <w:bCs/>
                <w:color w:val="auto"/>
                <w:sz w:val="22"/>
                <w:szCs w:val="22"/>
              </w:rPr>
            </w:pPr>
          </w:p>
          <w:p w14:paraId="70992644" w14:textId="13664C39" w:rsidR="00262E7B" w:rsidRPr="00097ABB" w:rsidRDefault="00262E7B" w:rsidP="00097ABB">
            <w:pPr>
              <w:ind w:left="720" w:right="521"/>
              <w:jc w:val="both"/>
              <w:rPr>
                <w:rFonts w:ascii="Arial" w:hAnsi="Arial" w:cs="Arial"/>
              </w:rPr>
            </w:pPr>
            <w:r w:rsidRPr="00097ABB">
              <w:rPr>
                <w:rFonts w:ascii="Arial" w:hAnsi="Arial" w:cs="Arial"/>
              </w:rPr>
              <w:t>xxx</w:t>
            </w:r>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 xml:space="preserve">  </w:t>
            </w:r>
          </w:p>
          <w:p w14:paraId="3E5DEECC" w14:textId="77777777" w:rsidR="00262E7B" w:rsidRPr="00097ABB" w:rsidRDefault="00262E7B" w:rsidP="00262E7B">
            <w:pPr>
              <w:ind w:left="720" w:right="521" w:firstLine="720"/>
              <w:jc w:val="both"/>
              <w:rPr>
                <w:rFonts w:ascii="Arial" w:hAnsi="Arial" w:cs="Arial"/>
              </w:rPr>
            </w:pPr>
          </w:p>
          <w:p w14:paraId="61C7A916" w14:textId="77777777" w:rsidR="00CE4CAD" w:rsidRDefault="00262E7B" w:rsidP="00262E7B">
            <w:pPr>
              <w:ind w:left="744" w:right="594"/>
              <w:jc w:val="both"/>
              <w:rPr>
                <w:rFonts w:ascii="Arial" w:hAnsi="Arial" w:cs="Arial"/>
                <w:bCs/>
              </w:rPr>
            </w:pPr>
            <w:r w:rsidRPr="00097ABB">
              <w:rPr>
                <w:rFonts w:ascii="Arial" w:hAnsi="Arial" w:cs="Arial"/>
                <w:b/>
                <w:bCs/>
                <w:i/>
                <w:iCs/>
              </w:rPr>
              <w:t>e.</w:t>
            </w:r>
            <w:r w:rsidRPr="00097ABB">
              <w:rPr>
                <w:rFonts w:ascii="Arial" w:hAnsi="Arial" w:cs="Arial"/>
                <w:b/>
                <w:i/>
                <w:iCs/>
              </w:rPr>
              <w:t xml:space="preserve"> PSH Available Capacity </w:t>
            </w:r>
            <w:r w:rsidRPr="00097ABB">
              <w:rPr>
                <w:rFonts w:ascii="Arial" w:hAnsi="Arial" w:cs="Arial"/>
                <w:bCs/>
                <w:i/>
                <w:iCs/>
              </w:rPr>
              <w:t>–</w:t>
            </w:r>
            <w:r w:rsidRPr="00097ABB">
              <w:rPr>
                <w:rFonts w:ascii="Arial" w:hAnsi="Arial" w:cs="Arial"/>
                <w:b/>
                <w:i/>
                <w:iCs/>
              </w:rPr>
              <w:t xml:space="preserve"> </w:t>
            </w:r>
            <w:r w:rsidRPr="00097ABB">
              <w:rPr>
                <w:rFonts w:ascii="Arial" w:hAnsi="Arial" w:cs="Arial"/>
              </w:rPr>
              <w:t xml:space="preserve">refers to the </w:t>
            </w:r>
            <w:r w:rsidRPr="00097ABB">
              <w:rPr>
                <w:rFonts w:ascii="Arial" w:hAnsi="Arial" w:cs="Arial"/>
                <w:bCs/>
              </w:rPr>
              <w:t xml:space="preserve">capacity which can be utilized to generate or store energy and/or support and provide flexibility to the grid: </w:t>
            </w:r>
            <w:r w:rsidRPr="00097ABB">
              <w:rPr>
                <w:rFonts w:ascii="Arial" w:hAnsi="Arial" w:cs="Arial"/>
                <w:bCs/>
                <w:i/>
                <w:iCs/>
              </w:rPr>
              <w:t>Provided,</w:t>
            </w:r>
            <w:r w:rsidRPr="00097ABB">
              <w:rPr>
                <w:rFonts w:ascii="Arial" w:hAnsi="Arial" w:cs="Arial"/>
                <w:bCs/>
              </w:rPr>
              <w:t xml:space="preserve"> That the Available Capacity shall exclude those non-operational units of the PSH Facility and shall not exceed the total P</w:t>
            </w:r>
            <w:r w:rsidRPr="00097ABB">
              <w:rPr>
                <w:rFonts w:ascii="Arial" w:hAnsi="Arial" w:cs="Arial"/>
                <w:bCs/>
                <w:vertAlign w:val="subscript"/>
              </w:rPr>
              <w:t>max</w:t>
            </w:r>
            <w:r w:rsidRPr="00097ABB">
              <w:rPr>
                <w:rFonts w:ascii="Arial" w:hAnsi="Arial" w:cs="Arial"/>
                <w:bCs/>
              </w:rPr>
              <w:t xml:space="preserve"> of the plant or generating unit, as the case may be: </w:t>
            </w:r>
            <w:r w:rsidRPr="00097ABB">
              <w:rPr>
                <w:rFonts w:ascii="Arial" w:hAnsi="Arial" w:cs="Arial"/>
                <w:bCs/>
                <w:i/>
                <w:iCs/>
              </w:rPr>
              <w:t>Provided</w:t>
            </w:r>
            <w:r w:rsidRPr="00097ABB">
              <w:rPr>
                <w:rFonts w:ascii="Arial" w:hAnsi="Arial" w:cs="Arial"/>
                <w:bCs/>
              </w:rPr>
              <w:t>, further, That in computing the Non-FIT GET, the PSH Available Capacity shall be based on the nominated capacity in kW per trading interval without regard to the mode of operation, i.e., generating, pumping or standby, how the available capacity is used, e.g., load following, peak shaving, load shifting, and the sub market where the capacity is sold/sourced.</w:t>
            </w:r>
          </w:p>
          <w:p w14:paraId="1839523E" w14:textId="349ED7C2" w:rsidR="000266E5" w:rsidRPr="000266E5" w:rsidRDefault="000266E5" w:rsidP="00262E7B">
            <w:pPr>
              <w:ind w:left="744" w:right="594"/>
              <w:jc w:val="both"/>
              <w:rPr>
                <w:rFonts w:ascii="Arial" w:hAnsi="Arial" w:cs="Arial"/>
                <w:b/>
                <w:bCs/>
                <w:color w:val="FF0000"/>
              </w:rPr>
            </w:pPr>
          </w:p>
        </w:tc>
        <w:tc>
          <w:tcPr>
            <w:tcW w:w="5954" w:type="dxa"/>
          </w:tcPr>
          <w:p w14:paraId="6A14C201" w14:textId="77777777" w:rsidR="003E3602" w:rsidRPr="00097ABB" w:rsidRDefault="003E3602" w:rsidP="00040EFE">
            <w:pPr>
              <w:jc w:val="center"/>
              <w:rPr>
                <w:rFonts w:ascii="Arial" w:hAnsi="Arial" w:cs="Arial"/>
                <w:b/>
                <w:bCs/>
              </w:rPr>
            </w:pPr>
          </w:p>
        </w:tc>
        <w:tc>
          <w:tcPr>
            <w:tcW w:w="5670" w:type="dxa"/>
          </w:tcPr>
          <w:p w14:paraId="39638405" w14:textId="77777777" w:rsidR="003E3602" w:rsidRPr="00097ABB" w:rsidRDefault="003E3602" w:rsidP="00040EFE">
            <w:pPr>
              <w:jc w:val="center"/>
              <w:rPr>
                <w:rFonts w:ascii="Arial" w:hAnsi="Arial" w:cs="Arial"/>
                <w:b/>
                <w:bCs/>
              </w:rPr>
            </w:pPr>
          </w:p>
        </w:tc>
      </w:tr>
      <w:tr w:rsidR="003E3602" w:rsidRPr="00097ABB" w14:paraId="3A4875DD" w14:textId="77777777" w:rsidTr="000266E5">
        <w:trPr>
          <w:trHeight w:val="677"/>
          <w:tblHeader/>
        </w:trPr>
        <w:tc>
          <w:tcPr>
            <w:tcW w:w="6799" w:type="dxa"/>
          </w:tcPr>
          <w:p w14:paraId="33412746" w14:textId="77777777" w:rsidR="00C2674A" w:rsidRPr="00097ABB" w:rsidRDefault="00C2674A" w:rsidP="00C2674A">
            <w:pPr>
              <w:ind w:right="521"/>
              <w:jc w:val="both"/>
              <w:rPr>
                <w:rFonts w:ascii="Arial" w:hAnsi="Arial" w:cs="Arial"/>
              </w:rPr>
            </w:pPr>
            <w:r w:rsidRPr="00097ABB">
              <w:rPr>
                <w:rFonts w:ascii="Arial" w:hAnsi="Arial" w:cs="Arial"/>
                <w:b/>
                <w:bCs/>
              </w:rPr>
              <w:lastRenderedPageBreak/>
              <w:t xml:space="preserve">Section 2. </w:t>
            </w:r>
            <w:r w:rsidRPr="00097ABB">
              <w:rPr>
                <w:rFonts w:ascii="Arial" w:hAnsi="Arial" w:cs="Arial"/>
              </w:rPr>
              <w:t>Section 7 is hereby amended to read as follows:</w:t>
            </w:r>
          </w:p>
          <w:p w14:paraId="658C899C" w14:textId="77777777" w:rsidR="00C2674A" w:rsidRPr="00097ABB" w:rsidRDefault="00C2674A" w:rsidP="00C2674A">
            <w:pPr>
              <w:ind w:right="521"/>
              <w:jc w:val="both"/>
              <w:rPr>
                <w:rFonts w:ascii="Arial" w:hAnsi="Arial" w:cs="Arial"/>
              </w:rPr>
            </w:pPr>
          </w:p>
          <w:p w14:paraId="5B881610" w14:textId="77777777" w:rsidR="00C2674A" w:rsidRPr="00097ABB" w:rsidRDefault="00C2674A" w:rsidP="00C2674A">
            <w:pPr>
              <w:ind w:left="709" w:right="521"/>
              <w:jc w:val="both"/>
              <w:rPr>
                <w:rFonts w:ascii="Arial" w:hAnsi="Arial" w:cs="Arial"/>
                <w:strike/>
              </w:rPr>
            </w:pPr>
            <w:r w:rsidRPr="00097ABB">
              <w:rPr>
                <w:rFonts w:ascii="Arial" w:hAnsi="Arial" w:cs="Arial"/>
                <w:bCs/>
              </w:rPr>
              <w:t>“</w:t>
            </w:r>
            <w:r w:rsidRPr="00097ABB">
              <w:rPr>
                <w:rFonts w:ascii="Arial" w:hAnsi="Arial" w:cs="Arial"/>
                <w:b/>
              </w:rPr>
              <w:t xml:space="preserve">Section 7. Settlement of the Non-FIT GET due to the Winning Bidders </w:t>
            </w:r>
            <w:r w:rsidRPr="00097ABB">
              <w:rPr>
                <w:rFonts w:ascii="Arial" w:hAnsi="Arial" w:cs="Arial"/>
                <w:b/>
                <w:u w:val="single"/>
              </w:rPr>
              <w:t>for Geothermal and Impounding Hydro</w:t>
            </w:r>
            <w:r w:rsidRPr="00097ABB">
              <w:rPr>
                <w:rFonts w:ascii="Arial" w:hAnsi="Arial" w:cs="Arial"/>
                <w:b/>
              </w:rPr>
              <w:t xml:space="preserve">.  </w:t>
            </w:r>
            <w:r w:rsidRPr="00097ABB">
              <w:rPr>
                <w:rFonts w:ascii="Arial" w:hAnsi="Arial" w:cs="Arial"/>
              </w:rPr>
              <w:t>The payment and settlement for the Non-FIT GET to the Non-FIT Eligible RE Facilities of Winning Bidders shall be collected and administered through the WESM by the Market Operator.</w:t>
            </w:r>
          </w:p>
          <w:p w14:paraId="0EC34F57" w14:textId="77777777" w:rsidR="00C2674A" w:rsidRPr="00097ABB" w:rsidRDefault="00C2674A" w:rsidP="00C2674A">
            <w:pPr>
              <w:ind w:left="709" w:right="521"/>
              <w:jc w:val="both"/>
              <w:rPr>
                <w:rFonts w:ascii="Arial" w:hAnsi="Arial" w:cs="Arial"/>
                <w:strike/>
              </w:rPr>
            </w:pPr>
          </w:p>
          <w:p w14:paraId="75C762D1" w14:textId="77777777" w:rsidR="00C2674A" w:rsidRPr="00097ABB" w:rsidRDefault="00C2674A" w:rsidP="00C2674A">
            <w:pPr>
              <w:ind w:left="709" w:right="521"/>
              <w:jc w:val="both"/>
              <w:rPr>
                <w:rFonts w:ascii="Arial" w:hAnsi="Arial" w:cs="Arial"/>
              </w:rPr>
            </w:pPr>
            <w:r w:rsidRPr="00097ABB">
              <w:rPr>
                <w:rFonts w:ascii="Arial" w:hAnsi="Arial" w:cs="Arial"/>
              </w:rPr>
              <w:t xml:space="preserve">In all cases, the </w:t>
            </w:r>
            <w:r w:rsidRPr="00097ABB">
              <w:rPr>
                <w:rFonts w:ascii="Arial" w:hAnsi="Arial" w:cs="Arial"/>
                <w:u w:val="single"/>
              </w:rPr>
              <w:t>Geothermal and Impounding Hydro</w:t>
            </w:r>
            <w:r w:rsidRPr="00097ABB">
              <w:rPr>
                <w:rFonts w:ascii="Arial" w:hAnsi="Arial" w:cs="Arial"/>
              </w:rPr>
              <w:t xml:space="preserve"> Facilities of Winning Bidders shall be paid with the Total GEA Amount, without regard to the Energy Trading Amount in the WESM following the formula below:”</w:t>
            </w:r>
          </w:p>
          <w:p w14:paraId="7D26DE30" w14:textId="77777777" w:rsidR="00C2674A" w:rsidRPr="00097ABB" w:rsidRDefault="00C2674A" w:rsidP="00C2674A">
            <w:pPr>
              <w:ind w:left="709" w:right="521"/>
              <w:jc w:val="both"/>
              <w:rPr>
                <w:rFonts w:ascii="Arial" w:hAnsi="Arial" w:cs="Arial"/>
                <w:strike/>
              </w:rPr>
            </w:pPr>
          </w:p>
          <w:p w14:paraId="5726D7CA" w14:textId="3745895F" w:rsidR="00C2674A" w:rsidRPr="00097ABB" w:rsidRDefault="00C2674A" w:rsidP="00097ABB">
            <w:pPr>
              <w:ind w:left="720" w:right="521"/>
              <w:jc w:val="both"/>
              <w:rPr>
                <w:rFonts w:ascii="Arial" w:hAnsi="Arial" w:cs="Arial"/>
              </w:rPr>
            </w:pPr>
            <w:r w:rsidRPr="00097ABB">
              <w:rPr>
                <w:rFonts w:ascii="Arial" w:hAnsi="Arial" w:cs="Arial"/>
              </w:rPr>
              <w:t>xxx</w:t>
            </w:r>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 xml:space="preserve">  </w:t>
            </w:r>
          </w:p>
          <w:p w14:paraId="5BA40793" w14:textId="3792AFE5" w:rsidR="003E3602" w:rsidRPr="00097ABB" w:rsidRDefault="003E3602" w:rsidP="00C2674A">
            <w:pPr>
              <w:ind w:right="571"/>
              <w:jc w:val="both"/>
              <w:rPr>
                <w:rFonts w:ascii="Arial" w:hAnsi="Arial" w:cs="Arial"/>
              </w:rPr>
            </w:pPr>
          </w:p>
        </w:tc>
        <w:tc>
          <w:tcPr>
            <w:tcW w:w="5954" w:type="dxa"/>
          </w:tcPr>
          <w:p w14:paraId="3EC38771" w14:textId="77777777" w:rsidR="003E3602" w:rsidRPr="00097ABB" w:rsidRDefault="003E3602" w:rsidP="00040EFE">
            <w:pPr>
              <w:jc w:val="center"/>
              <w:rPr>
                <w:rFonts w:ascii="Arial" w:hAnsi="Arial" w:cs="Arial"/>
                <w:b/>
                <w:bCs/>
              </w:rPr>
            </w:pPr>
          </w:p>
        </w:tc>
        <w:tc>
          <w:tcPr>
            <w:tcW w:w="5670" w:type="dxa"/>
          </w:tcPr>
          <w:p w14:paraId="6E2FC93F" w14:textId="77777777" w:rsidR="003E3602" w:rsidRPr="00097ABB" w:rsidRDefault="003E3602" w:rsidP="00040EFE">
            <w:pPr>
              <w:jc w:val="center"/>
              <w:rPr>
                <w:rFonts w:ascii="Arial" w:hAnsi="Arial" w:cs="Arial"/>
                <w:b/>
                <w:bCs/>
              </w:rPr>
            </w:pPr>
          </w:p>
        </w:tc>
      </w:tr>
      <w:tr w:rsidR="003E3602" w:rsidRPr="00097ABB" w14:paraId="15925A20" w14:textId="77777777" w:rsidTr="000266E5">
        <w:trPr>
          <w:trHeight w:val="1015"/>
          <w:tblHeader/>
        </w:trPr>
        <w:tc>
          <w:tcPr>
            <w:tcW w:w="6799" w:type="dxa"/>
          </w:tcPr>
          <w:p w14:paraId="1C32409B" w14:textId="77777777" w:rsidR="008F71A6" w:rsidRPr="00097ABB" w:rsidRDefault="008F71A6" w:rsidP="008F71A6">
            <w:pPr>
              <w:ind w:right="521"/>
              <w:jc w:val="both"/>
              <w:rPr>
                <w:rFonts w:ascii="Arial" w:hAnsi="Arial" w:cs="Arial"/>
              </w:rPr>
            </w:pPr>
            <w:r w:rsidRPr="00097ABB">
              <w:rPr>
                <w:rFonts w:ascii="Arial" w:hAnsi="Arial" w:cs="Arial"/>
                <w:b/>
                <w:bCs/>
              </w:rPr>
              <w:t xml:space="preserve">Section 3. </w:t>
            </w:r>
            <w:r w:rsidRPr="00097ABB">
              <w:rPr>
                <w:rFonts w:ascii="Arial" w:hAnsi="Arial" w:cs="Arial"/>
              </w:rPr>
              <w:t>Section 7.2 is hereby amended to read as follows:</w:t>
            </w:r>
          </w:p>
          <w:p w14:paraId="4EE54CBB" w14:textId="77777777" w:rsidR="008F71A6" w:rsidRPr="00097ABB" w:rsidRDefault="008F71A6" w:rsidP="008F71A6">
            <w:pPr>
              <w:ind w:right="521"/>
              <w:jc w:val="both"/>
              <w:rPr>
                <w:rFonts w:ascii="Arial" w:hAnsi="Arial" w:cs="Arial"/>
              </w:rPr>
            </w:pPr>
          </w:p>
          <w:p w14:paraId="4DBD7447" w14:textId="77777777" w:rsidR="008F71A6" w:rsidRPr="00097ABB" w:rsidRDefault="008F71A6" w:rsidP="008F71A6">
            <w:pPr>
              <w:shd w:val="clear" w:color="auto" w:fill="FFFFFF" w:themeFill="background1"/>
              <w:ind w:left="720" w:right="521"/>
              <w:jc w:val="both"/>
              <w:textAlignment w:val="baseline"/>
              <w:rPr>
                <w:rFonts w:ascii="Arial" w:eastAsia="Times New Roman" w:hAnsi="Arial" w:cs="Arial"/>
                <w:bdr w:val="none" w:sz="0" w:space="0" w:color="auto" w:frame="1"/>
                <w:lang w:eastAsia="en-PH"/>
              </w:rPr>
            </w:pPr>
            <w:r w:rsidRPr="00097ABB">
              <w:rPr>
                <w:rFonts w:ascii="Arial" w:eastAsia="Times New Roman" w:hAnsi="Arial" w:cs="Arial"/>
                <w:b/>
                <w:bCs/>
                <w:lang w:eastAsia="en-PH"/>
              </w:rPr>
              <w:t xml:space="preserve">“Section 7.2. </w:t>
            </w:r>
            <w:r w:rsidRPr="00097ABB">
              <w:rPr>
                <w:rFonts w:ascii="Arial" w:eastAsia="Times New Roman" w:hAnsi="Arial" w:cs="Arial"/>
                <w:lang w:eastAsia="en-PH"/>
              </w:rPr>
              <w:t xml:space="preserve">In case the Energy Trading Amount in the WESM of a </w:t>
            </w:r>
            <w:r w:rsidRPr="00097ABB">
              <w:rPr>
                <w:rFonts w:ascii="Arial" w:eastAsia="Times New Roman" w:hAnsi="Arial" w:cs="Arial"/>
                <w:u w:val="single"/>
                <w:lang w:eastAsia="en-PH"/>
              </w:rPr>
              <w:t>Geothermal and Impounding Hydro Facility</w:t>
            </w:r>
            <w:r w:rsidRPr="00097ABB">
              <w:rPr>
                <w:rFonts w:ascii="Arial" w:eastAsia="Times New Roman" w:hAnsi="Arial" w:cs="Arial"/>
                <w:lang w:eastAsia="en-PH"/>
              </w:rPr>
              <w:t xml:space="preserve"> of a GEA Winning Bidder is lower than its computed Total GEA Amount for a relevant billing month, the Market Operator shall reflect in the settlement statement of the customers the difference in amount and collect the same from the buyers in the WESM using the following formula:”</w:t>
            </w:r>
          </w:p>
          <w:p w14:paraId="7822B988" w14:textId="77777777" w:rsidR="008F71A6" w:rsidRPr="00097ABB" w:rsidRDefault="008F71A6" w:rsidP="008F71A6">
            <w:pPr>
              <w:ind w:right="521"/>
              <w:jc w:val="both"/>
              <w:rPr>
                <w:rFonts w:ascii="Arial" w:hAnsi="Arial" w:cs="Arial"/>
              </w:rPr>
            </w:pPr>
          </w:p>
          <w:p w14:paraId="67348C44" w14:textId="10DF8A10" w:rsidR="008F71A6" w:rsidRPr="00097ABB" w:rsidRDefault="008F71A6" w:rsidP="00097ABB">
            <w:pPr>
              <w:ind w:left="720" w:right="521"/>
              <w:jc w:val="both"/>
              <w:rPr>
                <w:rFonts w:ascii="Arial" w:hAnsi="Arial" w:cs="Arial"/>
              </w:rPr>
            </w:pPr>
            <w:r w:rsidRPr="00097ABB">
              <w:rPr>
                <w:rFonts w:ascii="Arial" w:hAnsi="Arial" w:cs="Arial"/>
              </w:rPr>
              <w:t>xxx</w:t>
            </w:r>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 xml:space="preserve">  </w:t>
            </w:r>
          </w:p>
          <w:p w14:paraId="19564052" w14:textId="7BA70DE5" w:rsidR="004B03C8" w:rsidRPr="00097ABB" w:rsidRDefault="004B03C8" w:rsidP="00D632FF">
            <w:pPr>
              <w:ind w:left="734" w:right="601"/>
              <w:jc w:val="both"/>
              <w:rPr>
                <w:rFonts w:ascii="Arial" w:hAnsi="Arial" w:cs="Arial"/>
                <w:color w:val="FF0000"/>
              </w:rPr>
            </w:pPr>
          </w:p>
        </w:tc>
        <w:tc>
          <w:tcPr>
            <w:tcW w:w="5954" w:type="dxa"/>
          </w:tcPr>
          <w:p w14:paraId="1CEE3733" w14:textId="77777777" w:rsidR="003E3602" w:rsidRPr="00097ABB" w:rsidRDefault="003E3602" w:rsidP="00040EFE">
            <w:pPr>
              <w:jc w:val="center"/>
              <w:rPr>
                <w:rFonts w:ascii="Arial" w:hAnsi="Arial" w:cs="Arial"/>
                <w:b/>
                <w:bCs/>
              </w:rPr>
            </w:pPr>
          </w:p>
        </w:tc>
        <w:tc>
          <w:tcPr>
            <w:tcW w:w="5670" w:type="dxa"/>
          </w:tcPr>
          <w:p w14:paraId="79C855D9" w14:textId="77777777" w:rsidR="003E3602" w:rsidRPr="00097ABB" w:rsidRDefault="003E3602" w:rsidP="00040EFE">
            <w:pPr>
              <w:jc w:val="center"/>
              <w:rPr>
                <w:rFonts w:ascii="Arial" w:hAnsi="Arial" w:cs="Arial"/>
                <w:b/>
                <w:bCs/>
              </w:rPr>
            </w:pPr>
          </w:p>
        </w:tc>
      </w:tr>
      <w:tr w:rsidR="003E3602" w:rsidRPr="00097ABB" w14:paraId="4E7C6C1D" w14:textId="77777777" w:rsidTr="000266E5">
        <w:trPr>
          <w:trHeight w:val="677"/>
          <w:tblHeader/>
        </w:trPr>
        <w:tc>
          <w:tcPr>
            <w:tcW w:w="6799" w:type="dxa"/>
          </w:tcPr>
          <w:p w14:paraId="3EC15E81" w14:textId="77777777" w:rsidR="00106D78" w:rsidRPr="00097ABB" w:rsidRDefault="00106D78" w:rsidP="00106D78">
            <w:pPr>
              <w:shd w:val="clear" w:color="auto" w:fill="FFFFFF" w:themeFill="background1"/>
              <w:ind w:right="521"/>
              <w:jc w:val="both"/>
              <w:textAlignment w:val="baseline"/>
              <w:rPr>
                <w:rFonts w:ascii="Arial" w:hAnsi="Arial" w:cs="Arial"/>
              </w:rPr>
            </w:pPr>
            <w:r w:rsidRPr="00097ABB">
              <w:rPr>
                <w:rFonts w:ascii="Arial" w:hAnsi="Arial" w:cs="Arial"/>
                <w:b/>
                <w:bCs/>
              </w:rPr>
              <w:lastRenderedPageBreak/>
              <w:t xml:space="preserve">Section 4. </w:t>
            </w:r>
            <w:r w:rsidRPr="00097ABB">
              <w:rPr>
                <w:rFonts w:ascii="Arial" w:hAnsi="Arial" w:cs="Arial"/>
              </w:rPr>
              <w:t>Section 7.3 is hereby amended to read as follows:</w:t>
            </w:r>
          </w:p>
          <w:p w14:paraId="1B535322" w14:textId="77777777" w:rsidR="00106D78" w:rsidRPr="00097ABB" w:rsidRDefault="00106D78" w:rsidP="00106D78">
            <w:pPr>
              <w:shd w:val="clear" w:color="auto" w:fill="FFFFFF" w:themeFill="background1"/>
              <w:ind w:right="521"/>
              <w:jc w:val="both"/>
              <w:textAlignment w:val="baseline"/>
              <w:rPr>
                <w:rFonts w:ascii="Arial" w:hAnsi="Arial" w:cs="Arial"/>
                <w:b/>
                <w:bCs/>
              </w:rPr>
            </w:pPr>
          </w:p>
          <w:p w14:paraId="66A8F1C7" w14:textId="77777777" w:rsidR="00106D78" w:rsidRPr="00097ABB" w:rsidRDefault="00106D78" w:rsidP="00106D78">
            <w:pPr>
              <w:shd w:val="clear" w:color="auto" w:fill="FFFFFF" w:themeFill="background1"/>
              <w:ind w:left="720" w:right="521"/>
              <w:jc w:val="both"/>
              <w:textAlignment w:val="baseline"/>
              <w:rPr>
                <w:rFonts w:ascii="Arial" w:eastAsia="Times New Roman" w:hAnsi="Arial" w:cs="Arial"/>
                <w:bdr w:val="none" w:sz="0" w:space="0" w:color="auto" w:frame="1"/>
                <w:lang w:eastAsia="en-PH"/>
              </w:rPr>
            </w:pPr>
            <w:r w:rsidRPr="00097ABB">
              <w:rPr>
                <w:rFonts w:ascii="Arial" w:hAnsi="Arial" w:cs="Arial"/>
                <w:b/>
                <w:bCs/>
              </w:rPr>
              <w:t>“Section 7.3.</w:t>
            </w:r>
            <w:r w:rsidRPr="00097ABB">
              <w:rPr>
                <w:rFonts w:ascii="Arial" w:eastAsia="Times New Roman" w:hAnsi="Arial" w:cs="Arial"/>
                <w:b/>
                <w:bCs/>
                <w:lang w:eastAsia="en-PH"/>
              </w:rPr>
              <w:t xml:space="preserve"> </w:t>
            </w:r>
            <w:r w:rsidRPr="00097ABB">
              <w:rPr>
                <w:rFonts w:ascii="Arial" w:eastAsia="Times New Roman" w:hAnsi="Arial" w:cs="Arial"/>
                <w:lang w:eastAsia="en-PH"/>
              </w:rPr>
              <w:t xml:space="preserve">In </w:t>
            </w:r>
            <w:r w:rsidRPr="00097ABB">
              <w:rPr>
                <w:rFonts w:ascii="Arial" w:hAnsi="Arial" w:cs="Arial"/>
              </w:rPr>
              <w:t xml:space="preserve">case the Energy Trading Amount in the WESM of a </w:t>
            </w:r>
            <w:r w:rsidRPr="00097ABB">
              <w:rPr>
                <w:rFonts w:ascii="Arial" w:eastAsia="Times New Roman" w:hAnsi="Arial" w:cs="Arial"/>
                <w:lang w:eastAsia="en-PH"/>
              </w:rPr>
              <w:t xml:space="preserve">of a Geothermal and Impounding Hydro Facility </w:t>
            </w:r>
            <w:r w:rsidRPr="00097ABB">
              <w:rPr>
                <w:rFonts w:ascii="Arial" w:hAnsi="Arial" w:cs="Arial"/>
              </w:rPr>
              <w:t>of a GEA Winning Bidder is higher than the computed Total GEA Amount for a relevant billing month, the Market Operator shall reflect in the settlement statements of the customers and collect only the amount due that will satisfy the computed GEA Amount and flowback the difference following the formula for flowback to each buyer in the WESM as follows:”</w:t>
            </w:r>
          </w:p>
          <w:p w14:paraId="7A50427F" w14:textId="77777777" w:rsidR="00106D78" w:rsidRPr="00097ABB" w:rsidRDefault="00106D78" w:rsidP="00106D78">
            <w:pPr>
              <w:ind w:right="521"/>
              <w:jc w:val="both"/>
              <w:rPr>
                <w:rFonts w:ascii="Arial" w:hAnsi="Arial" w:cs="Arial"/>
              </w:rPr>
            </w:pPr>
          </w:p>
          <w:p w14:paraId="7413EEDB" w14:textId="59B68B05" w:rsidR="00106D78" w:rsidRPr="00097ABB" w:rsidRDefault="00106D78" w:rsidP="00097ABB">
            <w:pPr>
              <w:ind w:left="720" w:right="521"/>
              <w:jc w:val="both"/>
              <w:rPr>
                <w:rFonts w:ascii="Arial" w:hAnsi="Arial" w:cs="Arial"/>
              </w:rPr>
            </w:pPr>
            <w:r w:rsidRPr="00097ABB">
              <w:rPr>
                <w:rFonts w:ascii="Arial" w:hAnsi="Arial" w:cs="Arial"/>
              </w:rPr>
              <w:t>xxx</w:t>
            </w:r>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ab/>
            </w:r>
            <w:r w:rsidRPr="00097ABB">
              <w:rPr>
                <w:rFonts w:ascii="Arial" w:hAnsi="Arial" w:cs="Arial"/>
              </w:rPr>
              <w:tab/>
            </w:r>
            <w:proofErr w:type="spellStart"/>
            <w:r w:rsidRPr="00097ABB">
              <w:rPr>
                <w:rFonts w:ascii="Arial" w:hAnsi="Arial" w:cs="Arial"/>
              </w:rPr>
              <w:t>xxx</w:t>
            </w:r>
            <w:proofErr w:type="spellEnd"/>
            <w:r w:rsidRPr="00097ABB">
              <w:rPr>
                <w:rFonts w:ascii="Arial" w:hAnsi="Arial" w:cs="Arial"/>
              </w:rPr>
              <w:t xml:space="preserve">  </w:t>
            </w:r>
          </w:p>
          <w:p w14:paraId="01E1FDC5" w14:textId="501E8AD8" w:rsidR="00CE4CAD" w:rsidRPr="00097ABB" w:rsidRDefault="00CE4CAD" w:rsidP="00D632FF">
            <w:pPr>
              <w:ind w:right="26"/>
              <w:jc w:val="both"/>
              <w:rPr>
                <w:rFonts w:ascii="Arial" w:eastAsia="Arial" w:hAnsi="Arial" w:cs="Arial"/>
                <w:b/>
              </w:rPr>
            </w:pPr>
          </w:p>
        </w:tc>
        <w:tc>
          <w:tcPr>
            <w:tcW w:w="5954" w:type="dxa"/>
          </w:tcPr>
          <w:p w14:paraId="55D1112F" w14:textId="77777777" w:rsidR="003E3602" w:rsidRPr="00097ABB" w:rsidRDefault="003E3602" w:rsidP="00040EFE">
            <w:pPr>
              <w:jc w:val="center"/>
              <w:rPr>
                <w:rFonts w:ascii="Arial" w:hAnsi="Arial" w:cs="Arial"/>
                <w:b/>
                <w:bCs/>
              </w:rPr>
            </w:pPr>
          </w:p>
        </w:tc>
        <w:tc>
          <w:tcPr>
            <w:tcW w:w="5670" w:type="dxa"/>
          </w:tcPr>
          <w:p w14:paraId="508D0EC5" w14:textId="77777777" w:rsidR="003E3602" w:rsidRPr="00097ABB" w:rsidRDefault="003E3602" w:rsidP="00040EFE">
            <w:pPr>
              <w:jc w:val="center"/>
              <w:rPr>
                <w:rFonts w:ascii="Arial" w:hAnsi="Arial" w:cs="Arial"/>
                <w:b/>
                <w:bCs/>
              </w:rPr>
            </w:pPr>
          </w:p>
        </w:tc>
      </w:tr>
      <w:tr w:rsidR="003E3602" w:rsidRPr="00097ABB" w14:paraId="5102C932" w14:textId="77777777" w:rsidTr="000266E5">
        <w:trPr>
          <w:trHeight w:val="1015"/>
          <w:tblHeader/>
        </w:trPr>
        <w:tc>
          <w:tcPr>
            <w:tcW w:w="6799" w:type="dxa"/>
          </w:tcPr>
          <w:p w14:paraId="45B11D7C" w14:textId="77777777" w:rsidR="006812E7" w:rsidRPr="00097ABB" w:rsidRDefault="006812E7" w:rsidP="006812E7">
            <w:pPr>
              <w:ind w:right="521"/>
              <w:jc w:val="both"/>
              <w:rPr>
                <w:rFonts w:ascii="Arial" w:hAnsi="Arial" w:cs="Arial"/>
              </w:rPr>
            </w:pPr>
            <w:r w:rsidRPr="00097ABB">
              <w:rPr>
                <w:rFonts w:ascii="Arial" w:hAnsi="Arial" w:cs="Arial"/>
                <w:b/>
                <w:bCs/>
              </w:rPr>
              <w:lastRenderedPageBreak/>
              <w:t xml:space="preserve">Section 5. </w:t>
            </w:r>
            <w:r w:rsidRPr="00097ABB">
              <w:rPr>
                <w:rFonts w:ascii="Arial" w:hAnsi="Arial" w:cs="Arial"/>
              </w:rPr>
              <w:t>A new section is hereby inserted after Section 7 to read as follows:</w:t>
            </w:r>
          </w:p>
          <w:p w14:paraId="36C4EB60" w14:textId="77777777" w:rsidR="006812E7" w:rsidRPr="00097ABB" w:rsidRDefault="006812E7" w:rsidP="006812E7">
            <w:pPr>
              <w:ind w:right="521"/>
              <w:jc w:val="both"/>
              <w:rPr>
                <w:rFonts w:ascii="Arial" w:hAnsi="Arial" w:cs="Arial"/>
              </w:rPr>
            </w:pPr>
          </w:p>
          <w:p w14:paraId="3B8686BC" w14:textId="77777777" w:rsidR="006812E7" w:rsidRPr="00097ABB" w:rsidRDefault="006812E7" w:rsidP="006812E7">
            <w:pPr>
              <w:ind w:left="709" w:right="521" w:firstLine="11"/>
              <w:jc w:val="both"/>
              <w:rPr>
                <w:rFonts w:ascii="Arial" w:hAnsi="Arial" w:cs="Arial"/>
                <w:bCs/>
              </w:rPr>
            </w:pPr>
            <w:r w:rsidRPr="00097ABB">
              <w:rPr>
                <w:rFonts w:ascii="Arial" w:hAnsi="Arial" w:cs="Arial"/>
                <w:b/>
                <w:bCs/>
              </w:rPr>
              <w:t>“</w:t>
            </w:r>
            <w:r w:rsidRPr="00097ABB">
              <w:rPr>
                <w:rFonts w:ascii="Arial" w:hAnsi="Arial" w:cs="Arial"/>
                <w:b/>
                <w:bCs/>
                <w:u w:val="single"/>
              </w:rPr>
              <w:t xml:space="preserve">Section 8. </w:t>
            </w:r>
            <w:r w:rsidRPr="00097ABB">
              <w:rPr>
                <w:rFonts w:ascii="Arial" w:hAnsi="Arial" w:cs="Arial"/>
                <w:b/>
                <w:u w:val="single"/>
              </w:rPr>
              <w:t>Settlement of the Non-FIT GET due to the Winning Bidders for PSH.</w:t>
            </w:r>
            <w:r w:rsidRPr="00097ABB">
              <w:rPr>
                <w:rFonts w:ascii="Arial" w:hAnsi="Arial" w:cs="Arial"/>
                <w:b/>
              </w:rPr>
              <w:t xml:space="preserve"> </w:t>
            </w:r>
            <w:r w:rsidRPr="00097ABB">
              <w:rPr>
                <w:rFonts w:ascii="Arial" w:hAnsi="Arial" w:cs="Arial"/>
                <w:bCs/>
              </w:rPr>
              <w:t xml:space="preserve">The payment and settlement for the Non-FIT GET to the </w:t>
            </w:r>
            <w:r w:rsidRPr="00097ABB">
              <w:rPr>
                <w:rFonts w:ascii="Arial" w:hAnsi="Arial" w:cs="Arial"/>
                <w:bCs/>
                <w:u w:val="single"/>
              </w:rPr>
              <w:t>PSH Facilities</w:t>
            </w:r>
            <w:r w:rsidRPr="00097ABB">
              <w:rPr>
                <w:rFonts w:ascii="Arial" w:hAnsi="Arial" w:cs="Arial"/>
                <w:bCs/>
              </w:rPr>
              <w:t xml:space="preserve"> of GEA Winning Bidders shall be collected and administered through the WESM by the Market Operator. As such, the PSH Facilities of GEA Winning Bidders must be registered in the WESM in accordance with the WESM Rules and Market Manuals and relevant rules and regulations.</w:t>
            </w:r>
          </w:p>
          <w:p w14:paraId="32EBB15D" w14:textId="77777777" w:rsidR="006812E7" w:rsidRPr="00097ABB" w:rsidRDefault="006812E7" w:rsidP="006812E7">
            <w:pPr>
              <w:ind w:right="521"/>
              <w:jc w:val="both"/>
              <w:rPr>
                <w:rFonts w:ascii="Arial" w:hAnsi="Arial" w:cs="Arial"/>
                <w:b/>
                <w:bCs/>
              </w:rPr>
            </w:pPr>
          </w:p>
          <w:p w14:paraId="1700192D" w14:textId="77777777" w:rsidR="006812E7" w:rsidRPr="00097ABB" w:rsidRDefault="006812E7" w:rsidP="006812E7">
            <w:pPr>
              <w:ind w:left="709" w:right="521"/>
              <w:jc w:val="both"/>
              <w:rPr>
                <w:rFonts w:ascii="Arial" w:hAnsi="Arial" w:cs="Arial"/>
              </w:rPr>
            </w:pPr>
            <w:r w:rsidRPr="00097ABB">
              <w:rPr>
                <w:rFonts w:ascii="Arial" w:hAnsi="Arial" w:cs="Arial"/>
              </w:rPr>
              <w:t xml:space="preserve">The Winning Bidders </w:t>
            </w:r>
            <w:r w:rsidRPr="00097ABB">
              <w:rPr>
                <w:rFonts w:ascii="Arial" w:hAnsi="Arial" w:cs="Arial"/>
                <w:u w:val="single"/>
              </w:rPr>
              <w:t>for PSH</w:t>
            </w:r>
            <w:r w:rsidRPr="00097ABB">
              <w:rPr>
                <w:rFonts w:ascii="Arial" w:hAnsi="Arial" w:cs="Arial"/>
              </w:rPr>
              <w:t xml:space="preserve"> shall be paid with the Total GEA Amount in consideration of its Available Capacity without regard to the Total Trading Amount in the WESM following the formula below:</w:t>
            </w:r>
          </w:p>
          <w:p w14:paraId="79D28566" w14:textId="77777777" w:rsidR="006812E7" w:rsidRPr="00097ABB" w:rsidRDefault="006812E7" w:rsidP="006812E7">
            <w:pPr>
              <w:ind w:left="709" w:right="521"/>
              <w:jc w:val="both"/>
              <w:rPr>
                <w:rFonts w:ascii="Arial" w:eastAsiaTheme="minorEastAsia" w:hAnsi="Arial" w:cs="Arial"/>
                <w:strike/>
                <w:lang w:eastAsia="en-PH"/>
              </w:rPr>
            </w:pPr>
          </w:p>
          <w:p w14:paraId="1C5480C9" w14:textId="77777777" w:rsidR="006812E7" w:rsidRPr="00097ABB" w:rsidRDefault="006812E7" w:rsidP="006812E7">
            <w:pPr>
              <w:ind w:left="709" w:right="521"/>
              <w:jc w:val="both"/>
              <w:rPr>
                <w:rFonts w:ascii="Arial" w:hAnsi="Arial" w:cs="Arial"/>
                <w:iCs/>
                <w:sz w:val="20"/>
                <w:szCs w:val="20"/>
              </w:rPr>
            </w:pPr>
            <m:oMathPara>
              <m:oMathParaPr>
                <m:jc m:val="center"/>
              </m:oMathParaPr>
              <m:oMath>
                <m:r>
                  <m:rPr>
                    <m:sty m:val="b"/>
                  </m:rPr>
                  <w:rPr>
                    <w:rFonts w:ascii="Cambria Math" w:eastAsia="Times New Roman" w:hAnsi="Cambria Math" w:cs="Arial"/>
                    <w:sz w:val="20"/>
                    <w:szCs w:val="20"/>
                    <w:lang w:eastAsia="en-PH"/>
                  </w:rPr>
                  <m:t>Total GEA Amount</m:t>
                </m:r>
                <m:r>
                  <m:rPr>
                    <m:sty m:val="p"/>
                  </m:rPr>
                  <w:rPr>
                    <w:rFonts w:ascii="Cambria Math" w:eastAsia="Times New Roman" w:hAnsi="Cambria Math" w:cs="Arial"/>
                    <w:sz w:val="20"/>
                    <w:szCs w:val="20"/>
                    <w:lang w:eastAsia="en-PH"/>
                  </w:rPr>
                  <m:t>=</m:t>
                </m:r>
                <m:nary>
                  <m:naryPr>
                    <m:chr m:val="∑"/>
                    <m:limLoc m:val="undOvr"/>
                    <m:supHide m:val="1"/>
                    <m:ctrlPr>
                      <w:rPr>
                        <w:rFonts w:ascii="Cambria Math" w:eastAsia="Times New Roman" w:hAnsi="Cambria Math" w:cs="Arial"/>
                        <w:i/>
                        <w:iCs/>
                        <w:sz w:val="20"/>
                        <w:szCs w:val="20"/>
                        <w:lang w:eastAsia="en-PH"/>
                      </w:rPr>
                    </m:ctrlPr>
                  </m:naryPr>
                  <m:sub>
                    <m:r>
                      <m:rPr>
                        <m:sty m:val="p"/>
                      </m:rPr>
                      <w:rPr>
                        <w:rFonts w:ascii="Cambria Math" w:eastAsia="Times New Roman" w:hAnsi="Cambria Math" w:cs="Arial"/>
                        <w:sz w:val="20"/>
                        <w:szCs w:val="20"/>
                        <w:lang w:eastAsia="en-PH"/>
                      </w:rPr>
                      <m:t>i∈h</m:t>
                    </m:r>
                  </m:sub>
                  <m:sup/>
                  <m:e>
                    <m:r>
                      <w:rPr>
                        <w:rFonts w:ascii="Cambria Math" w:eastAsia="Times New Roman" w:hAnsi="Cambria Math" w:cs="Arial"/>
                        <w:sz w:val="20"/>
                        <w:szCs w:val="20"/>
                        <w:lang w:eastAsia="en-PH"/>
                      </w:rPr>
                      <m:t>(</m:t>
                    </m:r>
                    <m:d>
                      <m:dPr>
                        <m:begChr m:val="|"/>
                        <m:endChr m:val="|"/>
                        <m:ctrlPr>
                          <w:rPr>
                            <w:rFonts w:ascii="Cambria Math" w:eastAsia="Times New Roman" w:hAnsi="Cambria Math" w:cs="Arial"/>
                            <w:sz w:val="20"/>
                            <w:szCs w:val="20"/>
                            <w:lang w:eastAsia="en-PH"/>
                          </w:rPr>
                        </m:ctrlPr>
                      </m:dPr>
                      <m:e>
                        <m:r>
                          <w:rPr>
                            <w:rFonts w:ascii="Cambria Math" w:eastAsia="Times New Roman" w:hAnsi="Cambria Math" w:cs="Arial"/>
                            <w:sz w:val="20"/>
                            <w:szCs w:val="20"/>
                            <w:lang w:eastAsia="en-PH"/>
                          </w:rPr>
                          <m:t>A</m:t>
                        </m:r>
                        <m:sSub>
                          <m:sSubPr>
                            <m:ctrlPr>
                              <w:rPr>
                                <w:rFonts w:ascii="Cambria Math" w:eastAsia="Times New Roman" w:hAnsi="Cambria Math" w:cs="Arial"/>
                                <w:iCs/>
                                <w:sz w:val="20"/>
                                <w:szCs w:val="20"/>
                                <w:lang w:eastAsia="en-PH"/>
                              </w:rPr>
                            </m:ctrlPr>
                          </m:sSubPr>
                          <m:e>
                            <m:r>
                              <m:rPr>
                                <m:sty m:val="p"/>
                              </m:rPr>
                              <w:rPr>
                                <w:rFonts w:ascii="Cambria Math" w:eastAsia="Times New Roman" w:hAnsi="Cambria Math" w:cs="Arial"/>
                                <w:sz w:val="20"/>
                                <w:szCs w:val="20"/>
                                <w:lang w:eastAsia="en-PH"/>
                              </w:rPr>
                              <m:t>C</m:t>
                            </m:r>
                          </m:e>
                          <m:sub>
                            <m:r>
                              <m:rPr>
                                <m:sty m:val="p"/>
                              </m:rPr>
                              <w:rPr>
                                <w:rFonts w:ascii="Cambria Math" w:eastAsia="Times New Roman" w:hAnsi="Cambria Math" w:cs="Arial"/>
                                <w:sz w:val="20"/>
                                <w:szCs w:val="20"/>
                                <w:lang w:eastAsia="en-PH"/>
                              </w:rPr>
                              <m:t>i</m:t>
                            </m:r>
                          </m:sub>
                        </m:sSub>
                      </m:e>
                    </m:d>
                    <m:r>
                      <m:rPr>
                        <m:sty m:val="p"/>
                      </m:rPr>
                      <w:rPr>
                        <w:rFonts w:ascii="Cambria Math" w:eastAsia="Times New Roman" w:hAnsi="Cambria Math" w:cs="Arial"/>
                        <w:sz w:val="20"/>
                        <w:szCs w:val="20"/>
                        <w:lang w:eastAsia="en-PH"/>
                      </w:rPr>
                      <m:t xml:space="preserve">×Non-FIT GET × </m:t>
                    </m:r>
                    <m:sSub>
                      <m:sSubPr>
                        <m:ctrlPr>
                          <w:rPr>
                            <w:rFonts w:ascii="Cambria Math" w:eastAsia="Times New Roman" w:hAnsi="Cambria Math" w:cs="Arial"/>
                            <w:iCs/>
                            <w:sz w:val="20"/>
                            <w:szCs w:val="20"/>
                            <w:lang w:eastAsia="en-PH"/>
                          </w:rPr>
                        </m:ctrlPr>
                      </m:sSubPr>
                      <m:e>
                        <m:r>
                          <m:rPr>
                            <m:sty m:val="p"/>
                          </m:rPr>
                          <w:rPr>
                            <w:rFonts w:ascii="Cambria Math" w:eastAsia="Times New Roman" w:hAnsi="Cambria Math" w:cs="Arial"/>
                            <w:sz w:val="20"/>
                            <w:szCs w:val="20"/>
                            <w:lang w:eastAsia="en-PH"/>
                          </w:rPr>
                          <m:t>d</m:t>
                        </m:r>
                      </m:e>
                      <m:sub>
                        <m:r>
                          <m:rPr>
                            <m:sty m:val="p"/>
                          </m:rPr>
                          <w:rPr>
                            <w:rFonts w:ascii="Cambria Math" w:eastAsia="Times New Roman" w:hAnsi="Cambria Math" w:cs="Arial"/>
                            <w:sz w:val="20"/>
                            <w:szCs w:val="20"/>
                            <w:lang w:eastAsia="en-PH"/>
                          </w:rPr>
                          <m:t>i</m:t>
                        </m:r>
                      </m:sub>
                    </m:sSub>
                  </m:e>
                </m:nary>
                <m:r>
                  <w:rPr>
                    <w:rFonts w:ascii="Cambria Math" w:eastAsia="Times New Roman" w:hAnsi="Cambria Math" w:cs="Arial"/>
                    <w:sz w:val="20"/>
                    <w:szCs w:val="20"/>
                    <w:lang w:eastAsia="en-PH"/>
                  </w:rPr>
                  <m:t>)</m:t>
                </m:r>
              </m:oMath>
            </m:oMathPara>
          </w:p>
          <w:p w14:paraId="70DD53B1" w14:textId="77777777" w:rsidR="006812E7" w:rsidRPr="00097ABB" w:rsidRDefault="006812E7" w:rsidP="006812E7">
            <w:pPr>
              <w:ind w:left="709" w:right="521"/>
              <w:jc w:val="both"/>
              <w:rPr>
                <w:rFonts w:ascii="Arial" w:hAnsi="Arial" w:cs="Arial"/>
              </w:rPr>
            </w:pPr>
          </w:p>
          <w:p w14:paraId="75E0A1BD" w14:textId="77777777" w:rsidR="006812E7" w:rsidRPr="00097ABB" w:rsidRDefault="006812E7" w:rsidP="006812E7">
            <w:pPr>
              <w:ind w:left="1429" w:right="521" w:firstLine="11"/>
              <w:jc w:val="both"/>
              <w:rPr>
                <w:rFonts w:ascii="Arial" w:hAnsi="Arial" w:cs="Arial"/>
              </w:rPr>
            </w:pPr>
            <w:proofErr w:type="gramStart"/>
            <w:r w:rsidRPr="00097ABB">
              <w:rPr>
                <w:rFonts w:ascii="Arial" w:hAnsi="Arial" w:cs="Arial"/>
              </w:rPr>
              <w:t>Where</w:t>
            </w:r>
            <w:proofErr w:type="gramEnd"/>
            <w:r w:rsidRPr="00097ABB">
              <w:rPr>
                <w:rFonts w:ascii="Arial" w:hAnsi="Arial" w:cs="Arial"/>
              </w:rPr>
              <w:t>,</w:t>
            </w:r>
          </w:p>
          <w:p w14:paraId="45A9B3FD" w14:textId="77777777" w:rsidR="006812E7" w:rsidRPr="00097ABB" w:rsidRDefault="006812E7" w:rsidP="006812E7">
            <w:pPr>
              <w:ind w:left="1429" w:right="521" w:firstLine="11"/>
              <w:jc w:val="both"/>
              <w:rPr>
                <w:rFonts w:ascii="Arial" w:hAnsi="Arial" w:cs="Arial"/>
              </w:rPr>
            </w:pPr>
          </w:p>
          <w:p w14:paraId="1A6AD325" w14:textId="77777777" w:rsidR="006812E7" w:rsidRPr="00097ABB" w:rsidRDefault="006812E7" w:rsidP="006812E7">
            <w:pPr>
              <w:ind w:left="2880" w:right="521" w:hanging="1440"/>
              <w:jc w:val="both"/>
              <w:rPr>
                <w:rFonts w:ascii="Arial" w:eastAsiaTheme="minorEastAsia" w:hAnsi="Arial" w:cs="Arial"/>
              </w:rPr>
            </w:pPr>
            <w:r w:rsidRPr="00097ABB">
              <w:rPr>
                <w:rFonts w:ascii="Arial" w:eastAsiaTheme="minorEastAsia" w:hAnsi="Arial" w:cs="Arial"/>
              </w:rPr>
              <w:t>AC</w:t>
            </w:r>
            <w:r w:rsidRPr="00097ABB">
              <w:rPr>
                <w:rFonts w:ascii="Arial" w:eastAsiaTheme="minorEastAsia" w:hAnsi="Arial" w:cs="Arial"/>
                <w:vertAlign w:val="subscript"/>
              </w:rPr>
              <w:t>i</w:t>
            </w:r>
            <w:r w:rsidRPr="00097ABB">
              <w:rPr>
                <w:rFonts w:ascii="Arial" w:eastAsiaTheme="minorEastAsia" w:hAnsi="Arial" w:cs="Arial"/>
              </w:rPr>
              <w:t>:</w:t>
            </w:r>
            <w:r w:rsidRPr="00097ABB">
              <w:rPr>
                <w:rFonts w:ascii="Arial" w:eastAsiaTheme="minorEastAsia" w:hAnsi="Arial" w:cs="Arial"/>
              </w:rPr>
              <w:tab/>
              <w:t xml:space="preserve">Absolute value of the Available Capacity in kW for trading interval </w:t>
            </w:r>
            <w:proofErr w:type="spellStart"/>
            <w:proofErr w:type="gramStart"/>
            <w:r w:rsidRPr="00097ABB">
              <w:rPr>
                <w:rFonts w:ascii="Arial" w:eastAsiaTheme="minorEastAsia" w:hAnsi="Arial" w:cs="Arial"/>
              </w:rPr>
              <w:t>i</w:t>
            </w:r>
            <w:proofErr w:type="spellEnd"/>
            <w:r w:rsidRPr="00097ABB">
              <w:rPr>
                <w:rFonts w:ascii="Arial" w:eastAsiaTheme="minorEastAsia" w:hAnsi="Arial" w:cs="Arial"/>
              </w:rPr>
              <w:t>;</w:t>
            </w:r>
            <w:proofErr w:type="gramEnd"/>
          </w:p>
          <w:p w14:paraId="0F32EAF1" w14:textId="77777777" w:rsidR="006812E7" w:rsidRPr="00097ABB" w:rsidRDefault="006812E7" w:rsidP="006812E7">
            <w:pPr>
              <w:ind w:left="2880" w:right="521" w:hanging="1440"/>
              <w:jc w:val="both"/>
              <w:rPr>
                <w:rFonts w:ascii="Arial" w:hAnsi="Arial" w:cs="Arial"/>
                <w:strike/>
              </w:rPr>
            </w:pPr>
            <w:r w:rsidRPr="00097ABB">
              <w:rPr>
                <w:rFonts w:ascii="Arial" w:hAnsi="Arial" w:cs="Arial"/>
              </w:rPr>
              <w:t>h:</w:t>
            </w:r>
            <w:r w:rsidRPr="00097ABB">
              <w:rPr>
                <w:rFonts w:ascii="Arial" w:hAnsi="Arial" w:cs="Arial"/>
              </w:rPr>
              <w:tab/>
              <w:t xml:space="preserve">Settlement </w:t>
            </w:r>
            <w:proofErr w:type="gramStart"/>
            <w:r w:rsidRPr="00097ABB">
              <w:rPr>
                <w:rFonts w:ascii="Arial" w:hAnsi="Arial" w:cs="Arial"/>
              </w:rPr>
              <w:t>interval;</w:t>
            </w:r>
            <w:proofErr w:type="gramEnd"/>
          </w:p>
          <w:p w14:paraId="2F6BD161" w14:textId="77777777" w:rsidR="006812E7" w:rsidRPr="00097ABB" w:rsidRDefault="006812E7" w:rsidP="000266E5">
            <w:pPr>
              <w:ind w:left="2870" w:right="521" w:hanging="1430"/>
              <w:jc w:val="both"/>
              <w:rPr>
                <w:rFonts w:ascii="Arial" w:hAnsi="Arial" w:cs="Arial"/>
                <w:iCs/>
              </w:rPr>
            </w:pPr>
            <w:r w:rsidRPr="00097ABB">
              <w:rPr>
                <w:rFonts w:ascii="Arial" w:hAnsi="Arial" w:cs="Arial"/>
                <w:iCs/>
              </w:rPr>
              <w:t>d</w:t>
            </w:r>
            <w:r w:rsidRPr="00097ABB">
              <w:rPr>
                <w:rFonts w:ascii="Arial" w:hAnsi="Arial" w:cs="Arial"/>
                <w:iCs/>
                <w:vertAlign w:val="subscript"/>
              </w:rPr>
              <w:t>i</w:t>
            </w:r>
            <w:r w:rsidRPr="00097ABB">
              <w:rPr>
                <w:rFonts w:ascii="Arial" w:hAnsi="Arial" w:cs="Arial"/>
                <w:iCs/>
              </w:rPr>
              <w:t>:</w:t>
            </w:r>
            <w:r w:rsidRPr="00097ABB">
              <w:rPr>
                <w:rFonts w:ascii="Arial" w:hAnsi="Arial" w:cs="Arial"/>
                <w:iCs/>
              </w:rPr>
              <w:tab/>
            </w:r>
            <w:r w:rsidRPr="00097ABB">
              <w:rPr>
                <w:rFonts w:ascii="Arial" w:hAnsi="Arial" w:cs="Arial"/>
                <w:iCs/>
              </w:rPr>
              <w:tab/>
              <w:t xml:space="preserve">Duration of trading intervals in </w:t>
            </w:r>
            <w:proofErr w:type="gramStart"/>
            <w:r w:rsidRPr="00097ABB">
              <w:rPr>
                <w:rFonts w:ascii="Arial" w:hAnsi="Arial" w:cs="Arial"/>
                <w:iCs/>
              </w:rPr>
              <w:t>hours;</w:t>
            </w:r>
            <w:proofErr w:type="gramEnd"/>
          </w:p>
          <w:p w14:paraId="564C480F" w14:textId="77777777" w:rsidR="006812E7" w:rsidRPr="00097ABB" w:rsidRDefault="006812E7" w:rsidP="006812E7">
            <w:pPr>
              <w:ind w:left="2160" w:right="521" w:hanging="720"/>
              <w:jc w:val="both"/>
              <w:rPr>
                <w:rFonts w:ascii="Arial" w:hAnsi="Arial" w:cs="Arial"/>
                <w:iCs/>
              </w:rPr>
            </w:pPr>
          </w:p>
          <w:p w14:paraId="47754EC6" w14:textId="77777777" w:rsidR="006812E7" w:rsidRPr="00097ABB" w:rsidRDefault="006812E7" w:rsidP="006812E7">
            <w:pPr>
              <w:ind w:left="2160" w:right="521" w:hanging="720"/>
              <w:jc w:val="both"/>
              <w:rPr>
                <w:rFonts w:ascii="Arial" w:eastAsiaTheme="minorEastAsia" w:hAnsi="Arial" w:cs="Arial"/>
                <w:lang w:eastAsia="en-PH"/>
              </w:rPr>
            </w:pPr>
            <m:oMathPara>
              <m:oMath>
                <m:sSub>
                  <m:sSubPr>
                    <m:ctrlPr>
                      <w:rPr>
                        <w:rFonts w:ascii="Cambria Math" w:eastAsia="Times New Roman" w:hAnsi="Cambria Math" w:cs="Arial"/>
                        <w:iCs/>
                        <w:lang w:eastAsia="en-PH"/>
                      </w:rPr>
                    </m:ctrlPr>
                  </m:sSubPr>
                  <m:e>
                    <m:r>
                      <m:rPr>
                        <m:sty m:val="p"/>
                      </m:rPr>
                      <w:rPr>
                        <w:rFonts w:ascii="Cambria Math" w:eastAsia="Times New Roman" w:hAnsi="Cambria Math" w:cs="Arial"/>
                        <w:lang w:eastAsia="en-PH"/>
                      </w:rPr>
                      <m:t>d</m:t>
                    </m:r>
                  </m:e>
                  <m:sub>
                    <m:r>
                      <m:rPr>
                        <m:sty m:val="p"/>
                      </m:rPr>
                      <w:rPr>
                        <w:rFonts w:ascii="Cambria Math" w:eastAsia="Times New Roman" w:hAnsi="Cambria Math" w:cs="Arial"/>
                        <w:lang w:eastAsia="en-PH"/>
                      </w:rPr>
                      <m:t>i</m:t>
                    </m:r>
                  </m:sub>
                </m:sSub>
                <m:r>
                  <m:rPr>
                    <m:sty m:val="p"/>
                  </m:rPr>
                  <w:rPr>
                    <w:rFonts w:ascii="Cambria Math" w:eastAsia="Times New Roman" w:hAnsi="Cambria Math" w:cs="Arial"/>
                    <w:lang w:eastAsia="en-PH"/>
                  </w:rPr>
                  <m:t xml:space="preserve">= </m:t>
                </m:r>
                <m:f>
                  <m:fPr>
                    <m:ctrlPr>
                      <w:rPr>
                        <w:rFonts w:ascii="Cambria Math" w:eastAsia="Times New Roman" w:hAnsi="Cambria Math" w:cs="Arial"/>
                        <w:iCs/>
                        <w:lang w:eastAsia="en-PH"/>
                      </w:rPr>
                    </m:ctrlPr>
                  </m:fPr>
                  <m:num>
                    <m:r>
                      <m:rPr>
                        <m:sty m:val="p"/>
                      </m:rPr>
                      <w:rPr>
                        <w:rFonts w:ascii="Cambria Math" w:eastAsia="Times New Roman" w:hAnsi="Cambria Math" w:cs="Arial"/>
                        <w:lang w:eastAsia="en-PH"/>
                      </w:rPr>
                      <m:t>T</m:t>
                    </m:r>
                  </m:num>
                  <m:den>
                    <m:r>
                      <m:rPr>
                        <m:sty m:val="p"/>
                      </m:rPr>
                      <w:rPr>
                        <w:rFonts w:ascii="Cambria Math" w:eastAsia="Times New Roman" w:hAnsi="Cambria Math" w:cs="Arial"/>
                        <w:lang w:eastAsia="en-PH"/>
                      </w:rPr>
                      <m:t>60</m:t>
                    </m:r>
                  </m:den>
                </m:f>
                <m:r>
                  <m:rPr>
                    <m:sty m:val="p"/>
                  </m:rPr>
                  <w:rPr>
                    <w:rFonts w:ascii="Cambria Math" w:eastAsia="Times New Roman" w:hAnsi="Cambria Math" w:cs="Arial"/>
                    <w:lang w:eastAsia="en-PH"/>
                  </w:rPr>
                  <m:t>,hours</m:t>
                </m:r>
              </m:oMath>
            </m:oMathPara>
          </w:p>
          <w:p w14:paraId="7A5BEE46" w14:textId="77777777" w:rsidR="006812E7" w:rsidRPr="00097ABB" w:rsidRDefault="006812E7" w:rsidP="006812E7">
            <w:pPr>
              <w:ind w:right="521"/>
              <w:jc w:val="both"/>
              <w:rPr>
                <w:rFonts w:ascii="Arial" w:hAnsi="Arial" w:cs="Arial"/>
                <w:iCs/>
              </w:rPr>
            </w:pPr>
            <w:r w:rsidRPr="00097ABB">
              <w:rPr>
                <w:rFonts w:ascii="Arial" w:hAnsi="Arial" w:cs="Arial"/>
                <w:iCs/>
              </w:rPr>
              <w:tab/>
            </w:r>
            <w:r w:rsidRPr="00097ABB">
              <w:rPr>
                <w:rFonts w:ascii="Arial" w:hAnsi="Arial" w:cs="Arial"/>
                <w:iCs/>
              </w:rPr>
              <w:tab/>
              <w:t xml:space="preserve">and, </w:t>
            </w:r>
          </w:p>
          <w:p w14:paraId="33D0E64C" w14:textId="77777777" w:rsidR="006812E7" w:rsidRPr="00097ABB" w:rsidRDefault="006812E7" w:rsidP="006812E7">
            <w:pPr>
              <w:ind w:left="2880" w:right="521" w:hanging="720"/>
              <w:jc w:val="both"/>
              <w:rPr>
                <w:rFonts w:ascii="Arial" w:hAnsi="Arial" w:cs="Arial"/>
                <w:iCs/>
              </w:rPr>
            </w:pPr>
            <w:r w:rsidRPr="00097ABB">
              <w:rPr>
                <w:rFonts w:ascii="Arial" w:hAnsi="Arial" w:cs="Arial"/>
                <w:iCs/>
              </w:rPr>
              <w:t>T:</w:t>
            </w:r>
            <w:r w:rsidRPr="00097ABB">
              <w:rPr>
                <w:rFonts w:ascii="Arial" w:hAnsi="Arial" w:cs="Arial"/>
                <w:iCs/>
              </w:rPr>
              <w:tab/>
              <w:t>Duration of trading intervals in minutes (i.e., 5, 15, 60, etc.</w:t>
            </w:r>
            <w:proofErr w:type="gramStart"/>
            <w:r w:rsidRPr="00097ABB">
              <w:rPr>
                <w:rFonts w:ascii="Arial" w:hAnsi="Arial" w:cs="Arial"/>
                <w:iCs/>
              </w:rPr>
              <w:t>);</w:t>
            </w:r>
            <w:proofErr w:type="gramEnd"/>
          </w:p>
          <w:p w14:paraId="701FB69E" w14:textId="77777777" w:rsidR="006812E7" w:rsidRPr="00097ABB" w:rsidRDefault="006812E7" w:rsidP="006812E7">
            <w:pPr>
              <w:ind w:right="521"/>
              <w:jc w:val="both"/>
              <w:rPr>
                <w:rFonts w:ascii="Arial" w:eastAsiaTheme="minorEastAsia" w:hAnsi="Arial" w:cs="Arial"/>
                <w:lang w:eastAsia="en-PH"/>
              </w:rPr>
            </w:pPr>
            <w:r w:rsidRPr="00097ABB">
              <w:rPr>
                <w:rFonts w:ascii="Arial" w:eastAsiaTheme="minorEastAsia" w:hAnsi="Arial" w:cs="Arial"/>
                <w:lang w:eastAsia="en-PH"/>
              </w:rPr>
              <w:tab/>
            </w:r>
          </w:p>
          <w:p w14:paraId="0BADB068" w14:textId="77777777" w:rsidR="006812E7" w:rsidRPr="00097ABB" w:rsidRDefault="006812E7" w:rsidP="006812E7">
            <w:pPr>
              <w:ind w:right="521" w:firstLine="720"/>
              <w:jc w:val="both"/>
              <w:rPr>
                <w:rFonts w:ascii="Arial" w:eastAsiaTheme="minorEastAsia" w:hAnsi="Arial" w:cs="Arial"/>
                <w:lang w:eastAsia="en-PH"/>
              </w:rPr>
            </w:pPr>
            <w:r w:rsidRPr="00097ABB">
              <w:rPr>
                <w:rFonts w:ascii="Arial" w:eastAsiaTheme="minorEastAsia" w:hAnsi="Arial" w:cs="Arial"/>
                <w:lang w:eastAsia="en-PH"/>
              </w:rPr>
              <w:t>Where:</w:t>
            </w:r>
          </w:p>
          <w:p w14:paraId="21553391" w14:textId="77777777" w:rsidR="006812E7" w:rsidRPr="00097ABB" w:rsidRDefault="006812E7" w:rsidP="006812E7">
            <w:pPr>
              <w:ind w:right="521"/>
              <w:jc w:val="both"/>
              <w:rPr>
                <w:rFonts w:ascii="Arial" w:hAnsi="Arial" w:cs="Arial"/>
              </w:rPr>
            </w:pPr>
          </w:p>
          <w:p w14:paraId="5CA7F47A" w14:textId="77777777" w:rsidR="006812E7" w:rsidRPr="00097ABB" w:rsidRDefault="006812E7" w:rsidP="006812E7">
            <w:pPr>
              <w:ind w:left="720" w:right="521"/>
              <w:jc w:val="both"/>
              <w:rPr>
                <w:rFonts w:ascii="Arial" w:hAnsi="Arial" w:cs="Arial"/>
              </w:rPr>
            </w:pPr>
            <w:r w:rsidRPr="00097ABB">
              <w:rPr>
                <w:rFonts w:ascii="Arial" w:eastAsia="Times New Roman" w:hAnsi="Arial" w:cs="Arial"/>
                <w:lang w:eastAsia="en-PH"/>
              </w:rPr>
              <w:lastRenderedPageBreak/>
              <w:t>The</w:t>
            </w:r>
            <w:r w:rsidRPr="00097ABB">
              <w:rPr>
                <w:rFonts w:ascii="Arial" w:eastAsia="Times New Roman" w:hAnsi="Arial" w:cs="Arial"/>
                <w:b/>
                <w:bCs/>
                <w:lang w:eastAsia="en-PH"/>
              </w:rPr>
              <w:t xml:space="preserve"> “Total Trading Amount for PSH” or “TTA-PSH” </w:t>
            </w:r>
            <w:r w:rsidRPr="00097ABB">
              <w:rPr>
                <w:rFonts w:ascii="Arial" w:eastAsia="Times New Roman" w:hAnsi="Arial" w:cs="Arial"/>
                <w:lang w:eastAsia="en-PH"/>
              </w:rPr>
              <w:t>refers to the total trading amount in the WESM. This is provided in the formula below:</w:t>
            </w:r>
          </w:p>
          <w:p w14:paraId="325ACC01" w14:textId="77777777" w:rsidR="006812E7" w:rsidRPr="00097ABB" w:rsidRDefault="006812E7" w:rsidP="006812E7">
            <w:pPr>
              <w:ind w:left="720" w:right="521"/>
              <w:jc w:val="both"/>
              <w:rPr>
                <w:rFonts w:ascii="Arial" w:eastAsia="Times New Roman" w:hAnsi="Arial" w:cs="Arial"/>
                <w:lang w:eastAsia="en-PH"/>
              </w:rPr>
            </w:pPr>
          </w:p>
          <w:p w14:paraId="60511A7A" w14:textId="77777777" w:rsidR="006812E7" w:rsidRPr="00097ABB" w:rsidRDefault="006812E7" w:rsidP="006812E7">
            <w:pPr>
              <w:ind w:left="720" w:right="521"/>
              <w:jc w:val="center"/>
              <w:rPr>
                <w:rFonts w:ascii="Arial" w:hAnsi="Arial" w:cs="Arial"/>
              </w:rPr>
            </w:pPr>
            <m:oMath>
              <m:sSub>
                <m:sSubPr>
                  <m:ctrlPr>
                    <w:rPr>
                      <w:rFonts w:ascii="Cambria Math" w:eastAsia="Times New Roman" w:hAnsi="Cambria Math" w:cs="Arial"/>
                      <w:i/>
                      <w:lang w:eastAsia="en-PH"/>
                    </w:rPr>
                  </m:ctrlPr>
                </m:sSubPr>
                <m:e>
                  <m:r>
                    <w:rPr>
                      <w:rFonts w:ascii="Cambria Math" w:eastAsia="Times New Roman" w:hAnsi="Cambria Math" w:cs="Arial"/>
                      <w:lang w:eastAsia="en-PH"/>
                    </w:rPr>
                    <m:t>TTA-PSH</m:t>
                  </m:r>
                </m:e>
                <m:sub>
                  <m:r>
                    <w:rPr>
                      <w:rFonts w:ascii="Cambria Math" w:eastAsia="Times New Roman" w:hAnsi="Cambria Math" w:cs="Arial"/>
                      <w:lang w:eastAsia="en-PH"/>
                    </w:rPr>
                    <m:t>p,h</m:t>
                  </m:r>
                </m:sub>
              </m:sSub>
              <m:r>
                <w:rPr>
                  <w:rFonts w:ascii="Cambria Math" w:eastAsia="Times New Roman" w:hAnsi="Cambria Math" w:cs="Arial"/>
                  <w:lang w:eastAsia="en-PH"/>
                </w:rPr>
                <m:t xml:space="preserve">= </m:t>
              </m:r>
              <m:sSub>
                <m:sSubPr>
                  <m:ctrlPr>
                    <w:rPr>
                      <w:rFonts w:ascii="Cambria Math" w:eastAsia="Times New Roman" w:hAnsi="Cambria Math" w:cs="Arial"/>
                      <w:i/>
                      <w:lang w:eastAsia="en-PH"/>
                    </w:rPr>
                  </m:ctrlPr>
                </m:sSubPr>
                <m:e>
                  <m:r>
                    <w:rPr>
                      <w:rFonts w:ascii="Cambria Math" w:eastAsia="Times New Roman" w:hAnsi="Cambria Math" w:cs="Arial"/>
                      <w:lang w:eastAsia="en-PH"/>
                    </w:rPr>
                    <m:t>ETA-PSH</m:t>
                  </m:r>
                </m:e>
                <m:sub>
                  <m:r>
                    <w:rPr>
                      <w:rFonts w:ascii="Cambria Math" w:eastAsia="Times New Roman" w:hAnsi="Cambria Math" w:cs="Arial"/>
                      <w:lang w:eastAsia="en-PH"/>
                    </w:rPr>
                    <m:t>p,h</m:t>
                  </m:r>
                </m:sub>
              </m:sSub>
              <m:r>
                <w:rPr>
                  <w:rFonts w:ascii="Cambria Math" w:eastAsia="Times New Roman" w:hAnsi="Cambria Math" w:cs="Arial"/>
                  <w:lang w:eastAsia="en-PH"/>
                </w:rPr>
                <m:t>+</m:t>
              </m:r>
              <m:sSub>
                <m:sSubPr>
                  <m:ctrlPr>
                    <w:rPr>
                      <w:rFonts w:ascii="Cambria Math" w:eastAsia="Times New Roman" w:hAnsi="Cambria Math" w:cs="Arial"/>
                      <w:i/>
                      <w:lang w:eastAsia="en-PH"/>
                    </w:rPr>
                  </m:ctrlPr>
                </m:sSubPr>
                <m:e>
                  <m:r>
                    <w:rPr>
                      <w:rFonts w:ascii="Cambria Math" w:eastAsia="Times New Roman" w:hAnsi="Cambria Math" w:cs="Arial"/>
                      <w:lang w:eastAsia="en-PH"/>
                    </w:rPr>
                    <m:t>RTA-PSH</m:t>
                  </m:r>
                </m:e>
                <m:sub>
                  <m:r>
                    <w:rPr>
                      <w:rFonts w:ascii="Cambria Math" w:eastAsia="Times New Roman" w:hAnsi="Cambria Math" w:cs="Arial"/>
                      <w:lang w:eastAsia="en-PH"/>
                    </w:rPr>
                    <m:t>p,h</m:t>
                  </m:r>
                </m:sub>
              </m:sSub>
            </m:oMath>
            <w:r w:rsidRPr="00097ABB">
              <w:rPr>
                <w:rFonts w:ascii="Arial" w:eastAsia="Times New Roman" w:hAnsi="Arial" w:cs="Arial"/>
                <w:lang w:eastAsia="en-PH"/>
              </w:rPr>
              <w:t>​</w:t>
            </w:r>
          </w:p>
          <w:p w14:paraId="2271AB8A" w14:textId="77777777" w:rsidR="006812E7" w:rsidRPr="00097ABB" w:rsidRDefault="006812E7" w:rsidP="006812E7">
            <w:pPr>
              <w:shd w:val="clear" w:color="auto" w:fill="FFFFFF" w:themeFill="background1"/>
              <w:ind w:right="521"/>
              <w:jc w:val="both"/>
              <w:textAlignment w:val="baseline"/>
              <w:rPr>
                <w:rFonts w:ascii="Arial" w:hAnsi="Arial" w:cs="Arial"/>
              </w:rPr>
            </w:pPr>
            <w:r w:rsidRPr="00097ABB">
              <w:rPr>
                <w:rFonts w:ascii="Arial" w:hAnsi="Arial" w:cs="Arial"/>
              </w:rPr>
              <w:tab/>
            </w:r>
          </w:p>
          <w:p w14:paraId="7DCE9237" w14:textId="77777777" w:rsidR="006812E7" w:rsidRPr="00097ABB" w:rsidRDefault="006812E7" w:rsidP="006812E7">
            <w:pPr>
              <w:shd w:val="clear" w:color="auto" w:fill="FFFFFF" w:themeFill="background1"/>
              <w:ind w:left="720" w:right="521" w:firstLine="720"/>
              <w:jc w:val="both"/>
              <w:textAlignment w:val="baseline"/>
              <w:rPr>
                <w:rFonts w:ascii="Arial" w:eastAsia="Times New Roman" w:hAnsi="Arial" w:cs="Arial"/>
                <w:lang w:eastAsia="en-PH"/>
              </w:rPr>
            </w:pPr>
            <w:r w:rsidRPr="00097ABB">
              <w:rPr>
                <w:rFonts w:ascii="Arial" w:eastAsia="Times New Roman" w:hAnsi="Arial" w:cs="Arial"/>
                <w:lang w:eastAsia="en-PH"/>
              </w:rPr>
              <w:t>Where:</w:t>
            </w:r>
          </w:p>
          <w:p w14:paraId="78CC33F3" w14:textId="77777777" w:rsidR="006812E7" w:rsidRPr="00097ABB" w:rsidRDefault="006812E7" w:rsidP="006812E7">
            <w:pPr>
              <w:shd w:val="clear" w:color="auto" w:fill="FFFFFF" w:themeFill="background1"/>
              <w:ind w:right="521"/>
              <w:jc w:val="both"/>
              <w:textAlignment w:val="baseline"/>
              <w:rPr>
                <w:rFonts w:ascii="Arial" w:eastAsia="Times New Roman" w:hAnsi="Arial" w:cs="Arial"/>
                <w:lang w:eastAsia="en-PH"/>
              </w:rPr>
            </w:pPr>
            <w:r w:rsidRPr="00097ABB">
              <w:rPr>
                <w:rFonts w:ascii="Arial" w:eastAsia="Times New Roman" w:hAnsi="Arial" w:cs="Arial"/>
                <w:lang w:eastAsia="en-PH"/>
              </w:rPr>
              <w:tab/>
            </w:r>
          </w:p>
          <w:p w14:paraId="4CF1E7BD" w14:textId="77777777" w:rsidR="006812E7" w:rsidRPr="00097ABB" w:rsidRDefault="006812E7" w:rsidP="006812E7">
            <w:pPr>
              <w:shd w:val="clear" w:color="auto" w:fill="FFFFFF" w:themeFill="background1"/>
              <w:ind w:left="2880" w:right="521" w:hanging="1440"/>
              <w:jc w:val="both"/>
              <w:textAlignment w:val="baseline"/>
              <w:rPr>
                <w:rFonts w:ascii="Arial" w:eastAsia="Times New Roman" w:hAnsi="Arial" w:cs="Arial"/>
                <w:lang w:eastAsia="en-PH"/>
              </w:rPr>
            </w:pPr>
            <w:r w:rsidRPr="00097ABB">
              <w:rPr>
                <w:rFonts w:ascii="Arial" w:eastAsia="Times New Roman" w:hAnsi="Arial" w:cs="Arial"/>
                <w:lang w:eastAsia="en-PH"/>
              </w:rPr>
              <w:t>TTA-</w:t>
            </w:r>
            <w:proofErr w:type="spellStart"/>
            <w:proofErr w:type="gramStart"/>
            <w:r w:rsidRPr="00097ABB">
              <w:rPr>
                <w:rFonts w:ascii="Arial" w:eastAsia="Times New Roman" w:hAnsi="Arial" w:cs="Arial"/>
                <w:lang w:eastAsia="en-PH"/>
              </w:rPr>
              <w:t>PSH</w:t>
            </w:r>
            <w:r w:rsidRPr="00097ABB">
              <w:rPr>
                <w:rFonts w:ascii="Arial" w:eastAsia="Times New Roman" w:hAnsi="Arial" w:cs="Arial"/>
                <w:vertAlign w:val="subscript"/>
                <w:lang w:eastAsia="en-PH"/>
              </w:rPr>
              <w:t>p,h</w:t>
            </w:r>
            <w:proofErr w:type="spellEnd"/>
            <w:proofErr w:type="gramEnd"/>
            <w:r w:rsidRPr="00097ABB">
              <w:rPr>
                <w:rFonts w:ascii="Arial" w:eastAsia="Times New Roman" w:hAnsi="Arial" w:cs="Arial"/>
                <w:lang w:eastAsia="en-PH"/>
              </w:rPr>
              <w:tab/>
              <w:t>refers to the total trading amount of trading participant p for settlement interval h</w:t>
            </w:r>
          </w:p>
          <w:p w14:paraId="77541E3D" w14:textId="77777777" w:rsidR="006812E7" w:rsidRPr="00097ABB" w:rsidRDefault="006812E7" w:rsidP="006812E7">
            <w:pPr>
              <w:shd w:val="clear" w:color="auto" w:fill="FFFFFF" w:themeFill="background1"/>
              <w:ind w:left="2880" w:right="521" w:hanging="1440"/>
              <w:jc w:val="both"/>
              <w:textAlignment w:val="baseline"/>
              <w:rPr>
                <w:rFonts w:ascii="Arial" w:eastAsia="Times New Roman" w:hAnsi="Arial" w:cs="Arial"/>
                <w:lang w:eastAsia="en-PH"/>
              </w:rPr>
            </w:pPr>
          </w:p>
          <w:p w14:paraId="71190F88" w14:textId="77777777" w:rsidR="006812E7" w:rsidRPr="00097ABB" w:rsidRDefault="006812E7" w:rsidP="006812E7">
            <w:pPr>
              <w:shd w:val="clear" w:color="auto" w:fill="FFFFFF" w:themeFill="background1"/>
              <w:ind w:left="2880" w:right="521" w:hanging="1440"/>
              <w:jc w:val="both"/>
              <w:textAlignment w:val="baseline"/>
              <w:rPr>
                <w:rFonts w:ascii="Arial" w:eastAsia="Times New Roman" w:hAnsi="Arial" w:cs="Arial"/>
                <w:lang w:eastAsia="en-PH"/>
              </w:rPr>
            </w:pPr>
            <w:r w:rsidRPr="00097ABB">
              <w:rPr>
                <w:rFonts w:ascii="Arial" w:eastAsia="Times New Roman" w:hAnsi="Arial" w:cs="Arial"/>
                <w:lang w:eastAsia="en-PH"/>
              </w:rPr>
              <w:t>ETA-</w:t>
            </w:r>
            <w:proofErr w:type="spellStart"/>
            <w:proofErr w:type="gramStart"/>
            <w:r w:rsidRPr="00097ABB">
              <w:rPr>
                <w:rFonts w:ascii="Arial" w:eastAsia="Times New Roman" w:hAnsi="Arial" w:cs="Arial"/>
                <w:lang w:eastAsia="en-PH"/>
              </w:rPr>
              <w:t>PSH</w:t>
            </w:r>
            <w:r w:rsidRPr="00097ABB">
              <w:rPr>
                <w:rFonts w:ascii="Arial" w:eastAsia="Times New Roman" w:hAnsi="Arial" w:cs="Arial"/>
                <w:vertAlign w:val="subscript"/>
                <w:lang w:eastAsia="en-PH"/>
              </w:rPr>
              <w:t>p,h</w:t>
            </w:r>
            <w:proofErr w:type="spellEnd"/>
            <w:proofErr w:type="gramEnd"/>
            <w:r w:rsidRPr="00097ABB">
              <w:rPr>
                <w:rFonts w:ascii="Arial" w:eastAsia="Times New Roman" w:hAnsi="Arial" w:cs="Arial"/>
                <w:vertAlign w:val="subscript"/>
                <w:lang w:eastAsia="en-PH"/>
              </w:rPr>
              <w:tab/>
            </w:r>
            <w:r w:rsidRPr="00097ABB">
              <w:rPr>
                <w:rFonts w:ascii="Arial" w:eastAsia="Times New Roman" w:hAnsi="Arial" w:cs="Arial"/>
                <w:lang w:eastAsia="en-PH"/>
              </w:rPr>
              <w:t>refers to the energy trading amount of trading participant p at settlement interval h</w:t>
            </w:r>
          </w:p>
          <w:p w14:paraId="6975BA88" w14:textId="77777777" w:rsidR="006812E7" w:rsidRPr="00097ABB" w:rsidRDefault="006812E7" w:rsidP="006812E7">
            <w:pPr>
              <w:shd w:val="clear" w:color="auto" w:fill="FFFFFF" w:themeFill="background1"/>
              <w:ind w:left="2880" w:right="521" w:hanging="1440"/>
              <w:jc w:val="both"/>
              <w:textAlignment w:val="baseline"/>
              <w:rPr>
                <w:rFonts w:ascii="Arial" w:eastAsia="Times New Roman" w:hAnsi="Arial" w:cs="Arial"/>
                <w:lang w:eastAsia="en-PH"/>
              </w:rPr>
            </w:pPr>
          </w:p>
          <w:p w14:paraId="6481E36C" w14:textId="77777777" w:rsidR="006812E7" w:rsidRPr="00097ABB" w:rsidRDefault="006812E7" w:rsidP="006812E7">
            <w:pPr>
              <w:shd w:val="clear" w:color="auto" w:fill="FFFFFF" w:themeFill="background1"/>
              <w:ind w:left="2880" w:right="521" w:hanging="1440"/>
              <w:jc w:val="both"/>
              <w:textAlignment w:val="baseline"/>
              <w:rPr>
                <w:rFonts w:ascii="Arial" w:eastAsia="Times New Roman" w:hAnsi="Arial" w:cs="Arial"/>
                <w:lang w:eastAsia="en-PH"/>
              </w:rPr>
            </w:pPr>
            <w:r w:rsidRPr="00097ABB">
              <w:rPr>
                <w:rFonts w:ascii="Arial" w:eastAsia="Times New Roman" w:hAnsi="Arial" w:cs="Arial"/>
                <w:lang w:eastAsia="en-PH"/>
              </w:rPr>
              <w:t>RTA-</w:t>
            </w:r>
            <w:proofErr w:type="spellStart"/>
            <w:proofErr w:type="gramStart"/>
            <w:r w:rsidRPr="00097ABB">
              <w:rPr>
                <w:rFonts w:ascii="Arial" w:eastAsia="Times New Roman" w:hAnsi="Arial" w:cs="Arial"/>
                <w:lang w:eastAsia="en-PH"/>
              </w:rPr>
              <w:t>PSH</w:t>
            </w:r>
            <w:r w:rsidRPr="00097ABB">
              <w:rPr>
                <w:rFonts w:ascii="Arial" w:eastAsia="Times New Roman" w:hAnsi="Arial" w:cs="Arial"/>
                <w:vertAlign w:val="subscript"/>
                <w:lang w:eastAsia="en-PH"/>
              </w:rPr>
              <w:t>p,h</w:t>
            </w:r>
            <w:proofErr w:type="spellEnd"/>
            <w:proofErr w:type="gramEnd"/>
            <w:r w:rsidRPr="00097ABB">
              <w:rPr>
                <w:rFonts w:ascii="Arial" w:eastAsia="Times New Roman" w:hAnsi="Arial" w:cs="Arial"/>
                <w:vertAlign w:val="subscript"/>
                <w:lang w:eastAsia="en-PH"/>
              </w:rPr>
              <w:tab/>
            </w:r>
            <w:r w:rsidRPr="00097ABB">
              <w:rPr>
                <w:rFonts w:ascii="Arial" w:eastAsia="Times New Roman" w:hAnsi="Arial" w:cs="Arial"/>
                <w:lang w:eastAsia="en-PH"/>
              </w:rPr>
              <w:t>refers to the reserve trading amount of trading participant p at settlement interval h</w:t>
            </w:r>
          </w:p>
          <w:p w14:paraId="65FE9547" w14:textId="77777777" w:rsidR="006812E7" w:rsidRPr="00097ABB" w:rsidRDefault="006812E7" w:rsidP="006812E7">
            <w:pPr>
              <w:ind w:left="720" w:right="521"/>
              <w:jc w:val="both"/>
              <w:rPr>
                <w:rFonts w:ascii="Arial" w:eastAsia="Times New Roman" w:hAnsi="Arial" w:cs="Arial"/>
                <w:b/>
                <w:bCs/>
                <w:lang w:eastAsia="en-PH"/>
              </w:rPr>
            </w:pPr>
          </w:p>
          <w:p w14:paraId="72B1A5F9" w14:textId="77777777" w:rsidR="006812E7" w:rsidRPr="00097ABB" w:rsidRDefault="006812E7" w:rsidP="006812E7">
            <w:pPr>
              <w:ind w:left="720" w:right="521"/>
              <w:jc w:val="both"/>
              <w:rPr>
                <w:rFonts w:ascii="Arial" w:hAnsi="Arial" w:cs="Arial"/>
              </w:rPr>
            </w:pPr>
            <w:r w:rsidRPr="00097ABB">
              <w:rPr>
                <w:rFonts w:ascii="Arial" w:eastAsia="Times New Roman" w:hAnsi="Arial" w:cs="Arial"/>
                <w:b/>
                <w:bCs/>
                <w:lang w:eastAsia="en-PH"/>
              </w:rPr>
              <w:t xml:space="preserve">“Energy Trading Amount for PSH” or “ETA-PSH” </w:t>
            </w:r>
            <w:r w:rsidRPr="00097ABB">
              <w:rPr>
                <w:rFonts w:ascii="Arial" w:eastAsia="Times New Roman" w:hAnsi="Arial" w:cs="Arial"/>
                <w:lang w:eastAsia="en-PH"/>
              </w:rPr>
              <w:t xml:space="preserve">refers to the amount in </w:t>
            </w:r>
            <w:proofErr w:type="spellStart"/>
            <w:r w:rsidRPr="00097ABB">
              <w:rPr>
                <w:rFonts w:ascii="Arial" w:eastAsia="Times New Roman" w:hAnsi="Arial" w:cs="Arial"/>
                <w:lang w:eastAsia="en-PH"/>
              </w:rPr>
              <w:t>Php</w:t>
            </w:r>
            <w:proofErr w:type="spellEnd"/>
            <w:r w:rsidRPr="00097ABB">
              <w:rPr>
                <w:rFonts w:ascii="Arial" w:eastAsia="Times New Roman" w:hAnsi="Arial" w:cs="Arial"/>
                <w:lang w:eastAsia="en-PH"/>
              </w:rPr>
              <w:t xml:space="preserve"> to be paid by or paid to a trading participant, when the PSH acts as a generator or a load, calculated in accordance with the Price Determination Methodology (PDM) Manual, and subsequent amendments thereto.</w:t>
            </w:r>
          </w:p>
          <w:p w14:paraId="243931DA" w14:textId="77777777" w:rsidR="006812E7" w:rsidRPr="00097ABB" w:rsidRDefault="006812E7" w:rsidP="006812E7">
            <w:pPr>
              <w:ind w:left="709" w:right="521"/>
              <w:jc w:val="both"/>
              <w:rPr>
                <w:rFonts w:ascii="Arial" w:hAnsi="Arial" w:cs="Arial"/>
                <w:sz w:val="16"/>
                <w:szCs w:val="16"/>
              </w:rPr>
            </w:pPr>
          </w:p>
          <w:p w14:paraId="413A3D5B" w14:textId="77777777" w:rsidR="006812E7" w:rsidRPr="00097ABB" w:rsidRDefault="006812E7" w:rsidP="006812E7">
            <w:pPr>
              <w:ind w:left="709" w:right="521"/>
              <w:jc w:val="both"/>
              <w:rPr>
                <w:rFonts w:ascii="Arial" w:hAnsi="Arial" w:cs="Arial"/>
                <w:sz w:val="16"/>
                <w:szCs w:val="16"/>
              </w:rPr>
            </w:pPr>
            <m:oMathPara>
              <m:oMathParaPr>
                <m:jc m:val="center"/>
              </m:oMathParaPr>
              <m:oMath>
                <m:sSub>
                  <m:sSubPr>
                    <m:ctrlPr>
                      <w:rPr>
                        <w:rFonts w:ascii="Cambria Math" w:hAnsi="Cambria Math" w:cs="Arial"/>
                        <w:i/>
                        <w:sz w:val="16"/>
                        <w:szCs w:val="16"/>
                      </w:rPr>
                    </m:ctrlPr>
                  </m:sSubPr>
                  <m:e>
                    <m:r>
                      <w:rPr>
                        <w:rFonts w:ascii="Cambria Math" w:hAnsi="Cambria Math" w:cs="Arial"/>
                        <w:sz w:val="16"/>
                        <w:szCs w:val="16"/>
                      </w:rPr>
                      <m:t>ETA-PSH</m:t>
                    </m:r>
                  </m:e>
                  <m:sub>
                    <m:r>
                      <w:rPr>
                        <w:rFonts w:ascii="Cambria Math" w:hAnsi="Cambria Math" w:cs="Arial"/>
                        <w:sz w:val="16"/>
                        <w:szCs w:val="16"/>
                      </w:rPr>
                      <m:t>p,h</m:t>
                    </m:r>
                  </m:sub>
                </m:sSub>
                <m:r>
                  <w:rPr>
                    <w:rFonts w:ascii="Cambria Math" w:hAnsi="Cambria Math" w:cs="Arial"/>
                    <w:sz w:val="16"/>
                    <w:szCs w:val="16"/>
                  </w:rPr>
                  <m:t xml:space="preserve">= </m:t>
                </m:r>
                <m:nary>
                  <m:naryPr>
                    <m:chr m:val="∑"/>
                    <m:limLoc m:val="undOvr"/>
                    <m:supHide m:val="1"/>
                    <m:ctrlPr>
                      <w:rPr>
                        <w:rFonts w:ascii="Cambria Math" w:hAnsi="Cambria Math" w:cs="Arial"/>
                        <w:i/>
                        <w:sz w:val="16"/>
                        <w:szCs w:val="16"/>
                      </w:rPr>
                    </m:ctrlPr>
                  </m:naryPr>
                  <m:sub>
                    <m:r>
                      <w:rPr>
                        <w:rFonts w:ascii="Cambria Math" w:hAnsi="Cambria Math" w:cs="Arial"/>
                        <w:sz w:val="16"/>
                        <w:szCs w:val="16"/>
                      </w:rPr>
                      <m:t>i∈h</m:t>
                    </m:r>
                  </m:sub>
                  <m:sup/>
                  <m:e>
                    <m:d>
                      <m:dPr>
                        <m:begChr m:val="["/>
                        <m:endChr m:val="]"/>
                        <m:ctrlPr>
                          <w:rPr>
                            <w:rFonts w:ascii="Cambria Math" w:hAnsi="Cambria Math" w:cs="Arial"/>
                            <w:i/>
                            <w:sz w:val="16"/>
                            <w:szCs w:val="16"/>
                          </w:rPr>
                        </m:ctrlPr>
                      </m:dPr>
                      <m:e>
                        <m:nary>
                          <m:naryPr>
                            <m:chr m:val="∑"/>
                            <m:limLoc m:val="undOvr"/>
                            <m:supHide m:val="1"/>
                            <m:ctrlPr>
                              <w:rPr>
                                <w:rFonts w:ascii="Cambria Math" w:hAnsi="Cambria Math" w:cs="Arial"/>
                                <w:i/>
                                <w:sz w:val="16"/>
                                <w:szCs w:val="16"/>
                              </w:rPr>
                            </m:ctrlPr>
                          </m:naryPr>
                          <m:sub>
                            <m:r>
                              <w:rPr>
                                <w:rFonts w:ascii="Cambria Math" w:hAnsi="Cambria Math" w:cs="Arial"/>
                                <w:sz w:val="16"/>
                                <w:szCs w:val="16"/>
                              </w:rPr>
                              <m:t>n∈</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p</m:t>
                                </m:r>
                              </m:sub>
                            </m:sSub>
                          </m:sub>
                          <m:sup/>
                          <m:e>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FEDP</m:t>
                                </m:r>
                              </m:e>
                              <m:sub>
                                <m:r>
                                  <w:rPr>
                                    <w:rFonts w:ascii="Cambria Math" w:hAnsi="Cambria Math" w:cs="Arial"/>
                                    <w:sz w:val="16"/>
                                    <w:szCs w:val="16"/>
                                  </w:rPr>
                                  <m:t>n,i</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GESQ</m:t>
                                </m:r>
                              </m:e>
                              <m:sub>
                                <m:r>
                                  <w:rPr>
                                    <w:rFonts w:ascii="Cambria Math" w:hAnsi="Cambria Math" w:cs="Arial"/>
                                    <w:sz w:val="16"/>
                                    <w:szCs w:val="16"/>
                                  </w:rPr>
                                  <m:t>n,i</m:t>
                                </m:r>
                              </m:sub>
                            </m:sSub>
                            <m:r>
                              <w:rPr>
                                <w:rFonts w:ascii="Cambria Math" w:hAnsi="Cambria Math" w:cs="Arial"/>
                                <w:sz w:val="16"/>
                                <w:szCs w:val="16"/>
                              </w:rPr>
                              <m:t>)-</m:t>
                            </m:r>
                            <m:nary>
                              <m:naryPr>
                                <m:chr m:val="∑"/>
                                <m:limLoc m:val="undOvr"/>
                                <m:supHide m:val="1"/>
                                <m:ctrlPr>
                                  <w:rPr>
                                    <w:rFonts w:ascii="Cambria Math" w:hAnsi="Cambria Math" w:cs="Arial"/>
                                    <w:i/>
                                    <w:sz w:val="16"/>
                                    <w:szCs w:val="16"/>
                                  </w:rPr>
                                </m:ctrlPr>
                              </m:naryPr>
                              <m:sub>
                                <m:r>
                                  <w:rPr>
                                    <w:rFonts w:ascii="Cambria Math" w:hAnsi="Cambria Math" w:cs="Arial"/>
                                    <w:sz w:val="16"/>
                                    <w:szCs w:val="16"/>
                                  </w:rPr>
                                  <m:t>n∈</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p</m:t>
                                    </m:r>
                                  </m:sub>
                                </m:sSub>
                              </m:sub>
                              <m:sup/>
                              <m:e>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FECP</m:t>
                                    </m:r>
                                  </m:e>
                                  <m:sub>
                                    <m:r>
                                      <w:rPr>
                                        <w:rFonts w:ascii="Cambria Math" w:hAnsi="Cambria Math" w:cs="Arial"/>
                                        <w:sz w:val="16"/>
                                        <w:szCs w:val="16"/>
                                      </w:rPr>
                                      <m:t>n,i</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GECSQ</m:t>
                                    </m:r>
                                  </m:e>
                                  <m:sub>
                                    <m:r>
                                      <w:rPr>
                                        <w:rFonts w:ascii="Cambria Math" w:hAnsi="Cambria Math" w:cs="Arial"/>
                                        <w:sz w:val="16"/>
                                        <w:szCs w:val="16"/>
                                      </w:rPr>
                                      <m:t>n,i</m:t>
                                    </m:r>
                                  </m:sub>
                                </m:sSub>
                                <m:r>
                                  <w:rPr>
                                    <w:rFonts w:ascii="Cambria Math" w:hAnsi="Cambria Math" w:cs="Arial"/>
                                    <w:sz w:val="16"/>
                                    <w:szCs w:val="16"/>
                                  </w:rPr>
                                  <m:t>)</m:t>
                                </m:r>
                              </m:e>
                            </m:nary>
                          </m:e>
                        </m:nary>
                      </m:e>
                    </m:d>
                  </m:e>
                </m:nary>
              </m:oMath>
            </m:oMathPara>
          </w:p>
          <w:p w14:paraId="725098A2" w14:textId="77777777" w:rsidR="006812E7" w:rsidRPr="00097ABB" w:rsidRDefault="006812E7" w:rsidP="006812E7">
            <w:pPr>
              <w:ind w:left="709" w:right="521"/>
              <w:jc w:val="both"/>
              <w:rPr>
                <w:rFonts w:ascii="Arial" w:hAnsi="Arial" w:cs="Arial"/>
              </w:rPr>
            </w:pPr>
          </w:p>
          <w:p w14:paraId="18FC711F" w14:textId="77777777" w:rsidR="006812E7" w:rsidRPr="00097ABB" w:rsidRDefault="006812E7" w:rsidP="006812E7">
            <w:pPr>
              <w:ind w:left="1429" w:right="521" w:firstLine="11"/>
              <w:jc w:val="both"/>
              <w:rPr>
                <w:rFonts w:ascii="Arial" w:hAnsi="Arial" w:cs="Arial"/>
              </w:rPr>
            </w:pPr>
            <w:r w:rsidRPr="00097ABB">
              <w:rPr>
                <w:rFonts w:ascii="Arial" w:hAnsi="Arial" w:cs="Arial"/>
              </w:rPr>
              <w:t>Where:</w:t>
            </w:r>
          </w:p>
          <w:p w14:paraId="278C65E4" w14:textId="77777777" w:rsidR="006812E7" w:rsidRPr="00097ABB" w:rsidRDefault="006812E7" w:rsidP="006812E7">
            <w:pPr>
              <w:ind w:left="709" w:right="521"/>
              <w:jc w:val="both"/>
              <w:rPr>
                <w:rFonts w:ascii="Arial" w:hAnsi="Arial" w:cs="Arial"/>
              </w:rPr>
            </w:pPr>
          </w:p>
          <w:p w14:paraId="502D9513" w14:textId="77777777" w:rsidR="006812E7" w:rsidRPr="00097ABB" w:rsidRDefault="006812E7" w:rsidP="006812E7">
            <w:pPr>
              <w:ind w:left="2880" w:right="521" w:hanging="1451"/>
              <w:jc w:val="both"/>
              <w:rPr>
                <w:rFonts w:ascii="Arial" w:hAnsi="Arial" w:cs="Arial"/>
              </w:rPr>
            </w:pPr>
            <w:r w:rsidRPr="00097ABB">
              <w:rPr>
                <w:rFonts w:ascii="Arial" w:hAnsi="Arial" w:cs="Arial"/>
              </w:rPr>
              <w:t>ETA-</w:t>
            </w:r>
            <w:proofErr w:type="spellStart"/>
            <w:proofErr w:type="gramStart"/>
            <w:r w:rsidRPr="00097ABB">
              <w:rPr>
                <w:rFonts w:ascii="Arial" w:hAnsi="Arial" w:cs="Arial"/>
              </w:rPr>
              <w:t>PSH</w:t>
            </w:r>
            <w:r w:rsidRPr="00097ABB">
              <w:rPr>
                <w:rFonts w:ascii="Arial" w:hAnsi="Arial" w:cs="Arial"/>
                <w:vertAlign w:val="subscript"/>
              </w:rPr>
              <w:t>p,h</w:t>
            </w:r>
            <w:proofErr w:type="spellEnd"/>
            <w:proofErr w:type="gramEnd"/>
            <w:r w:rsidRPr="00097ABB">
              <w:rPr>
                <w:rFonts w:ascii="Arial" w:hAnsi="Arial" w:cs="Arial"/>
              </w:rPr>
              <w:tab/>
              <w:t>refers to the energy trading amount of trading participant p at settlement interval h</w:t>
            </w:r>
          </w:p>
          <w:p w14:paraId="7FBCCB0C" w14:textId="77777777" w:rsidR="006812E7" w:rsidRPr="00097ABB" w:rsidRDefault="006812E7" w:rsidP="006812E7">
            <w:pPr>
              <w:ind w:left="2880" w:right="521" w:hanging="1451"/>
              <w:jc w:val="both"/>
              <w:rPr>
                <w:rFonts w:ascii="Arial" w:hAnsi="Arial" w:cs="Arial"/>
              </w:rPr>
            </w:pPr>
          </w:p>
          <w:p w14:paraId="08C680B3" w14:textId="77777777" w:rsidR="006812E7" w:rsidRPr="00097ABB" w:rsidRDefault="006812E7" w:rsidP="006812E7">
            <w:pPr>
              <w:ind w:left="2880" w:right="521" w:hanging="1451"/>
              <w:jc w:val="both"/>
              <w:rPr>
                <w:rFonts w:ascii="Arial" w:hAnsi="Arial" w:cs="Arial"/>
              </w:rPr>
            </w:pPr>
            <w:proofErr w:type="spellStart"/>
            <w:proofErr w:type="gramStart"/>
            <w:r w:rsidRPr="00097ABB">
              <w:rPr>
                <w:rFonts w:ascii="Arial" w:hAnsi="Arial" w:cs="Arial"/>
              </w:rPr>
              <w:t>FEDP</w:t>
            </w:r>
            <w:r w:rsidRPr="00097ABB">
              <w:rPr>
                <w:rFonts w:ascii="Arial" w:hAnsi="Arial" w:cs="Arial"/>
                <w:vertAlign w:val="subscript"/>
              </w:rPr>
              <w:t>n,i</w:t>
            </w:r>
            <w:proofErr w:type="spellEnd"/>
            <w:proofErr w:type="gramEnd"/>
            <w:r w:rsidRPr="00097ABB">
              <w:rPr>
                <w:rFonts w:ascii="Arial" w:hAnsi="Arial" w:cs="Arial"/>
              </w:rPr>
              <w:tab/>
              <w:t xml:space="preserve">refers to the final energy dispatch price of market trading node n at </w:t>
            </w:r>
            <w:r w:rsidRPr="00097ABB">
              <w:rPr>
                <w:rFonts w:ascii="Arial" w:hAnsi="Arial" w:cs="Arial"/>
              </w:rPr>
              <w:lastRenderedPageBreak/>
              <w:t xml:space="preserve">dispatch interval </w:t>
            </w:r>
            <w:proofErr w:type="spellStart"/>
            <w:r w:rsidRPr="00097ABB">
              <w:rPr>
                <w:rFonts w:ascii="Arial" w:hAnsi="Arial" w:cs="Arial"/>
              </w:rPr>
              <w:t>i</w:t>
            </w:r>
            <w:proofErr w:type="spellEnd"/>
            <w:r w:rsidRPr="00097ABB">
              <w:rPr>
                <w:rFonts w:ascii="Arial" w:hAnsi="Arial" w:cs="Arial"/>
              </w:rPr>
              <w:t xml:space="preserve"> in settlement interval h</w:t>
            </w:r>
          </w:p>
          <w:p w14:paraId="424417E3" w14:textId="77777777" w:rsidR="006812E7" w:rsidRPr="00097ABB" w:rsidRDefault="006812E7" w:rsidP="006812E7">
            <w:pPr>
              <w:ind w:left="2880" w:right="521" w:hanging="1451"/>
              <w:jc w:val="both"/>
              <w:rPr>
                <w:rFonts w:ascii="Arial" w:hAnsi="Arial" w:cs="Arial"/>
              </w:rPr>
            </w:pPr>
          </w:p>
          <w:p w14:paraId="49553688" w14:textId="77777777" w:rsidR="006812E7" w:rsidRPr="00097ABB" w:rsidRDefault="006812E7" w:rsidP="006812E7">
            <w:pPr>
              <w:ind w:left="2880" w:right="521" w:hanging="1451"/>
              <w:jc w:val="both"/>
              <w:rPr>
                <w:rFonts w:ascii="Arial" w:hAnsi="Arial" w:cs="Arial"/>
              </w:rPr>
            </w:pPr>
            <w:proofErr w:type="spellStart"/>
            <w:proofErr w:type="gramStart"/>
            <w:r w:rsidRPr="00097ABB">
              <w:rPr>
                <w:rFonts w:ascii="Arial" w:hAnsi="Arial" w:cs="Arial"/>
              </w:rPr>
              <w:t>GESQ</w:t>
            </w:r>
            <w:r w:rsidRPr="00097ABB">
              <w:rPr>
                <w:rFonts w:ascii="Arial" w:hAnsi="Arial" w:cs="Arial"/>
                <w:vertAlign w:val="subscript"/>
              </w:rPr>
              <w:t>n,i</w:t>
            </w:r>
            <w:proofErr w:type="spellEnd"/>
            <w:proofErr w:type="gramEnd"/>
            <w:r w:rsidRPr="00097ABB">
              <w:rPr>
                <w:rFonts w:ascii="Arial" w:hAnsi="Arial" w:cs="Arial"/>
              </w:rPr>
              <w:tab/>
              <w:t xml:space="preserve">refers to the gross energy settlement quantity for market trading node n at dispatch interval </w:t>
            </w:r>
            <w:proofErr w:type="spellStart"/>
            <w:r w:rsidRPr="00097ABB">
              <w:rPr>
                <w:rFonts w:ascii="Arial" w:hAnsi="Arial" w:cs="Arial"/>
              </w:rPr>
              <w:t>i</w:t>
            </w:r>
            <w:proofErr w:type="spellEnd"/>
            <w:r w:rsidRPr="00097ABB">
              <w:rPr>
                <w:rFonts w:ascii="Arial" w:hAnsi="Arial" w:cs="Arial"/>
              </w:rPr>
              <w:t xml:space="preserve"> in settlement interval h </w:t>
            </w:r>
          </w:p>
          <w:p w14:paraId="6519DBCA" w14:textId="77777777" w:rsidR="006812E7" w:rsidRPr="00097ABB" w:rsidRDefault="006812E7" w:rsidP="006812E7">
            <w:pPr>
              <w:ind w:left="2880" w:right="521" w:hanging="1451"/>
              <w:jc w:val="both"/>
              <w:rPr>
                <w:rFonts w:ascii="Arial" w:hAnsi="Arial" w:cs="Arial"/>
              </w:rPr>
            </w:pPr>
          </w:p>
          <w:p w14:paraId="2C11D32A" w14:textId="77777777" w:rsidR="006812E7" w:rsidRPr="00097ABB" w:rsidRDefault="006812E7" w:rsidP="006812E7">
            <w:pPr>
              <w:ind w:left="2880" w:right="521" w:hanging="1451"/>
              <w:jc w:val="both"/>
              <w:rPr>
                <w:rFonts w:ascii="Arial" w:hAnsi="Arial" w:cs="Arial"/>
              </w:rPr>
            </w:pPr>
            <w:r w:rsidRPr="00097ABB">
              <w:rPr>
                <w:rFonts w:ascii="Arial" w:hAnsi="Arial" w:cs="Arial"/>
              </w:rPr>
              <w:t>N</w:t>
            </w:r>
            <w:r w:rsidRPr="00097ABB">
              <w:rPr>
                <w:rFonts w:ascii="Arial" w:hAnsi="Arial" w:cs="Arial"/>
                <w:vertAlign w:val="subscript"/>
              </w:rPr>
              <w:t>p</w:t>
            </w:r>
            <w:r w:rsidRPr="00097ABB">
              <w:rPr>
                <w:rFonts w:ascii="Arial" w:hAnsi="Arial" w:cs="Arial"/>
              </w:rPr>
              <w:tab/>
              <w:t>refers to the set of market trading nodes assigned to trading participant p</w:t>
            </w:r>
          </w:p>
          <w:p w14:paraId="42DEB29F" w14:textId="77777777" w:rsidR="006812E7" w:rsidRPr="00097ABB" w:rsidRDefault="006812E7" w:rsidP="006812E7">
            <w:pPr>
              <w:ind w:left="2880" w:right="521" w:hanging="1451"/>
              <w:jc w:val="both"/>
              <w:rPr>
                <w:rFonts w:ascii="Arial" w:hAnsi="Arial" w:cs="Arial"/>
              </w:rPr>
            </w:pPr>
          </w:p>
          <w:p w14:paraId="747758B9" w14:textId="77777777" w:rsidR="006812E7" w:rsidRPr="00097ABB" w:rsidRDefault="006812E7" w:rsidP="006812E7">
            <w:pPr>
              <w:ind w:left="2880" w:right="521" w:hanging="1451"/>
              <w:jc w:val="both"/>
              <w:rPr>
                <w:rFonts w:ascii="Arial" w:hAnsi="Arial" w:cs="Arial"/>
              </w:rPr>
            </w:pPr>
            <w:proofErr w:type="spellStart"/>
            <w:proofErr w:type="gramStart"/>
            <w:r w:rsidRPr="00097ABB">
              <w:rPr>
                <w:rFonts w:ascii="Arial" w:hAnsi="Arial" w:cs="Arial"/>
              </w:rPr>
              <w:t>FECP</w:t>
            </w:r>
            <w:r w:rsidRPr="00097ABB">
              <w:rPr>
                <w:rFonts w:ascii="Arial" w:hAnsi="Arial" w:cs="Arial"/>
                <w:vertAlign w:val="subscript"/>
              </w:rPr>
              <w:t>n,i</w:t>
            </w:r>
            <w:proofErr w:type="spellEnd"/>
            <w:proofErr w:type="gramEnd"/>
            <w:r w:rsidRPr="00097ABB">
              <w:rPr>
                <w:rFonts w:ascii="Arial" w:hAnsi="Arial" w:cs="Arial"/>
              </w:rPr>
              <w:tab/>
              <w:t xml:space="preserve">refers to the final energy consumption price of market trading node n at dispatch interval </w:t>
            </w:r>
            <w:proofErr w:type="spellStart"/>
            <w:r w:rsidRPr="00097ABB">
              <w:rPr>
                <w:rFonts w:ascii="Arial" w:hAnsi="Arial" w:cs="Arial"/>
              </w:rPr>
              <w:t>i</w:t>
            </w:r>
            <w:proofErr w:type="spellEnd"/>
            <w:r w:rsidRPr="00097ABB">
              <w:rPr>
                <w:rFonts w:ascii="Arial" w:hAnsi="Arial" w:cs="Arial"/>
              </w:rPr>
              <w:t xml:space="preserve"> in settlement interval h</w:t>
            </w:r>
          </w:p>
          <w:p w14:paraId="21939EAE" w14:textId="77777777" w:rsidR="006812E7" w:rsidRPr="00097ABB" w:rsidRDefault="006812E7" w:rsidP="006812E7">
            <w:pPr>
              <w:ind w:left="2880" w:right="521" w:hanging="1451"/>
              <w:jc w:val="both"/>
              <w:rPr>
                <w:rFonts w:ascii="Arial" w:hAnsi="Arial" w:cs="Arial"/>
              </w:rPr>
            </w:pPr>
          </w:p>
          <w:p w14:paraId="373B3B39" w14:textId="77777777" w:rsidR="006812E7" w:rsidRPr="00097ABB" w:rsidRDefault="006812E7" w:rsidP="006812E7">
            <w:pPr>
              <w:ind w:left="2880" w:right="521" w:hanging="1451"/>
              <w:jc w:val="both"/>
              <w:rPr>
                <w:rFonts w:ascii="Arial" w:hAnsi="Arial" w:cs="Arial"/>
              </w:rPr>
            </w:pPr>
            <w:proofErr w:type="spellStart"/>
            <w:proofErr w:type="gramStart"/>
            <w:r w:rsidRPr="00097ABB">
              <w:rPr>
                <w:rFonts w:ascii="Arial" w:hAnsi="Arial" w:cs="Arial"/>
              </w:rPr>
              <w:t>GECSQ</w:t>
            </w:r>
            <w:r w:rsidRPr="00097ABB">
              <w:rPr>
                <w:rFonts w:ascii="Arial" w:hAnsi="Arial" w:cs="Arial"/>
                <w:vertAlign w:val="subscript"/>
              </w:rPr>
              <w:t>n,i</w:t>
            </w:r>
            <w:proofErr w:type="spellEnd"/>
            <w:proofErr w:type="gramEnd"/>
            <w:r w:rsidRPr="00097ABB">
              <w:rPr>
                <w:rFonts w:ascii="Arial" w:hAnsi="Arial" w:cs="Arial"/>
              </w:rPr>
              <w:tab/>
              <w:t xml:space="preserve">refers to the gross energy consumption settlement quantity for market trading node n at dispatch interval </w:t>
            </w:r>
            <w:proofErr w:type="spellStart"/>
            <w:r w:rsidRPr="00097ABB">
              <w:rPr>
                <w:rFonts w:ascii="Arial" w:hAnsi="Arial" w:cs="Arial"/>
              </w:rPr>
              <w:t>i</w:t>
            </w:r>
            <w:proofErr w:type="spellEnd"/>
            <w:r w:rsidRPr="00097ABB">
              <w:rPr>
                <w:rFonts w:ascii="Arial" w:hAnsi="Arial" w:cs="Arial"/>
              </w:rPr>
              <w:t xml:space="preserve"> in settlement interval h”</w:t>
            </w:r>
          </w:p>
          <w:p w14:paraId="765BD484" w14:textId="77777777" w:rsidR="006812E7" w:rsidRPr="00097ABB" w:rsidRDefault="006812E7" w:rsidP="006812E7">
            <w:pPr>
              <w:shd w:val="clear" w:color="auto" w:fill="FFFFFF" w:themeFill="background1"/>
              <w:ind w:right="521" w:firstLine="720"/>
              <w:jc w:val="both"/>
              <w:textAlignment w:val="baseline"/>
              <w:rPr>
                <w:rFonts w:ascii="Arial" w:hAnsi="Arial" w:cs="Arial"/>
              </w:rPr>
            </w:pPr>
          </w:p>
          <w:p w14:paraId="3BF4D1DA" w14:textId="77777777" w:rsidR="006812E7" w:rsidRPr="00097ABB" w:rsidRDefault="006812E7" w:rsidP="006812E7">
            <w:pPr>
              <w:ind w:left="720" w:right="521"/>
              <w:jc w:val="both"/>
              <w:rPr>
                <w:rFonts w:ascii="Arial" w:hAnsi="Arial" w:cs="Arial"/>
              </w:rPr>
            </w:pPr>
            <w:r w:rsidRPr="00097ABB">
              <w:rPr>
                <w:rFonts w:ascii="Arial" w:eastAsia="Times New Roman" w:hAnsi="Arial" w:cs="Arial"/>
                <w:b/>
                <w:bCs/>
                <w:lang w:eastAsia="en-PH"/>
              </w:rPr>
              <w:t xml:space="preserve">“Reserve Trading Amount for PSH” or “RTA-PSH” </w:t>
            </w:r>
            <w:r w:rsidRPr="00097ABB">
              <w:rPr>
                <w:rFonts w:ascii="Arial" w:eastAsia="Times New Roman" w:hAnsi="Arial" w:cs="Arial"/>
                <w:lang w:eastAsia="en-PH"/>
              </w:rPr>
              <w:t xml:space="preserve">refers to the amount in </w:t>
            </w:r>
            <w:proofErr w:type="spellStart"/>
            <w:r w:rsidRPr="00097ABB">
              <w:rPr>
                <w:rFonts w:ascii="Arial" w:eastAsia="Times New Roman" w:hAnsi="Arial" w:cs="Arial"/>
                <w:lang w:eastAsia="en-PH"/>
              </w:rPr>
              <w:t>Php</w:t>
            </w:r>
            <w:proofErr w:type="spellEnd"/>
            <w:r w:rsidRPr="00097ABB">
              <w:rPr>
                <w:rFonts w:ascii="Arial" w:eastAsia="Times New Roman" w:hAnsi="Arial" w:cs="Arial"/>
                <w:lang w:eastAsia="en-PH"/>
              </w:rPr>
              <w:t xml:space="preserve"> to be paid to a trading participant in the reserve market, calculated in accordance with the Price Determination Methodology (PDM) Manual and subsequent amendments thereto, as approved by the Energy Regulatory Commission.”</w:t>
            </w:r>
          </w:p>
          <w:p w14:paraId="159C6077" w14:textId="12520A46" w:rsidR="003E3602" w:rsidRPr="00097ABB" w:rsidRDefault="003E3602" w:rsidP="00D632FF">
            <w:pPr>
              <w:jc w:val="both"/>
              <w:rPr>
                <w:rFonts w:ascii="Arial" w:hAnsi="Arial" w:cs="Arial"/>
                <w:b/>
                <w:bCs/>
                <w:color w:val="FF0000"/>
              </w:rPr>
            </w:pPr>
          </w:p>
        </w:tc>
        <w:tc>
          <w:tcPr>
            <w:tcW w:w="5954" w:type="dxa"/>
          </w:tcPr>
          <w:p w14:paraId="2B2D7179" w14:textId="77777777" w:rsidR="003E3602" w:rsidRPr="00097ABB" w:rsidRDefault="003E3602" w:rsidP="00040EFE">
            <w:pPr>
              <w:jc w:val="center"/>
              <w:rPr>
                <w:rFonts w:ascii="Arial" w:hAnsi="Arial" w:cs="Arial"/>
                <w:b/>
                <w:bCs/>
              </w:rPr>
            </w:pPr>
          </w:p>
        </w:tc>
        <w:tc>
          <w:tcPr>
            <w:tcW w:w="5670" w:type="dxa"/>
          </w:tcPr>
          <w:p w14:paraId="09670A4C" w14:textId="77777777" w:rsidR="003E3602" w:rsidRPr="00097ABB" w:rsidRDefault="003E3602" w:rsidP="00040EFE">
            <w:pPr>
              <w:jc w:val="center"/>
              <w:rPr>
                <w:rFonts w:ascii="Arial" w:hAnsi="Arial" w:cs="Arial"/>
                <w:b/>
                <w:bCs/>
              </w:rPr>
            </w:pPr>
          </w:p>
        </w:tc>
      </w:tr>
      <w:tr w:rsidR="003E3602" w:rsidRPr="00097ABB" w14:paraId="48F36893" w14:textId="77777777" w:rsidTr="000266E5">
        <w:trPr>
          <w:trHeight w:val="1015"/>
          <w:tblHeader/>
        </w:trPr>
        <w:tc>
          <w:tcPr>
            <w:tcW w:w="6799" w:type="dxa"/>
          </w:tcPr>
          <w:p w14:paraId="727F75E9" w14:textId="77777777" w:rsidR="0017533E" w:rsidRPr="00097ABB" w:rsidRDefault="0017533E" w:rsidP="0017533E">
            <w:pPr>
              <w:ind w:right="521"/>
              <w:jc w:val="both"/>
              <w:rPr>
                <w:rFonts w:ascii="Arial" w:hAnsi="Arial" w:cs="Arial"/>
              </w:rPr>
            </w:pPr>
            <w:r w:rsidRPr="00097ABB">
              <w:rPr>
                <w:rFonts w:ascii="Arial" w:hAnsi="Arial" w:cs="Arial"/>
                <w:b/>
                <w:bCs/>
              </w:rPr>
              <w:lastRenderedPageBreak/>
              <w:t xml:space="preserve">Section 6. </w:t>
            </w:r>
            <w:r w:rsidRPr="00097ABB">
              <w:rPr>
                <w:rFonts w:ascii="Arial" w:hAnsi="Arial" w:cs="Arial"/>
              </w:rPr>
              <w:t>New subsections under Section 8 are hereby inserted to read as follows:</w:t>
            </w:r>
          </w:p>
          <w:p w14:paraId="1EDB58E4" w14:textId="77777777" w:rsidR="0017533E" w:rsidRPr="00097ABB" w:rsidRDefault="0017533E" w:rsidP="0017533E">
            <w:pPr>
              <w:ind w:right="521"/>
              <w:jc w:val="both"/>
              <w:rPr>
                <w:rFonts w:ascii="Arial" w:hAnsi="Arial" w:cs="Arial"/>
              </w:rPr>
            </w:pPr>
          </w:p>
          <w:p w14:paraId="5FEDF65F" w14:textId="77777777" w:rsidR="0017533E" w:rsidRPr="00097ABB" w:rsidRDefault="0017533E" w:rsidP="0017533E">
            <w:pPr>
              <w:shd w:val="clear" w:color="auto" w:fill="FFFFFF" w:themeFill="background1"/>
              <w:ind w:left="720" w:right="521"/>
              <w:jc w:val="both"/>
              <w:textAlignment w:val="baseline"/>
              <w:rPr>
                <w:rFonts w:ascii="Arial" w:eastAsia="Times New Roman" w:hAnsi="Arial" w:cs="Arial"/>
                <w:lang w:eastAsia="en-PH"/>
              </w:rPr>
            </w:pPr>
            <w:r w:rsidRPr="00097ABB">
              <w:rPr>
                <w:rFonts w:ascii="Arial" w:eastAsia="Times New Roman" w:hAnsi="Arial" w:cs="Arial"/>
                <w:b/>
                <w:bCs/>
                <w:lang w:eastAsia="en-PH"/>
              </w:rPr>
              <w:t>“Section 8.1. Collection and Flowback of Difference between Total Trading Amount and Total GEA Amount.</w:t>
            </w:r>
            <w:r w:rsidRPr="00097ABB">
              <w:rPr>
                <w:rFonts w:ascii="Arial" w:eastAsia="Times New Roman" w:hAnsi="Arial" w:cs="Arial"/>
                <w:lang w:eastAsia="en-PH"/>
              </w:rPr>
              <w:t xml:space="preserve"> The Market Operator shall calculate the difference between the Total Trading Amount in the WESM and the computed Total GEA Amount for the billing month of the </w:t>
            </w:r>
            <w:r w:rsidRPr="00097ABB">
              <w:rPr>
                <w:rFonts w:ascii="Arial" w:hAnsi="Arial" w:cs="Arial"/>
              </w:rPr>
              <w:t xml:space="preserve">PSH Facilities of GEA </w:t>
            </w:r>
            <w:r w:rsidRPr="00097ABB">
              <w:rPr>
                <w:rFonts w:ascii="Arial" w:eastAsia="Times New Roman" w:hAnsi="Arial" w:cs="Arial"/>
                <w:lang w:eastAsia="en-PH"/>
              </w:rPr>
              <w:t>Winning Bidders during the preliminary and final settlement process under the WESM Rules.</w:t>
            </w:r>
          </w:p>
          <w:p w14:paraId="471188A8" w14:textId="77777777" w:rsidR="0017533E" w:rsidRPr="00097ABB" w:rsidRDefault="0017533E" w:rsidP="0017533E">
            <w:pPr>
              <w:ind w:right="521"/>
              <w:jc w:val="both"/>
              <w:rPr>
                <w:rFonts w:ascii="Arial" w:hAnsi="Arial" w:cs="Arial"/>
              </w:rPr>
            </w:pPr>
          </w:p>
          <w:p w14:paraId="06B46F53" w14:textId="77777777" w:rsidR="0017533E" w:rsidRPr="00097ABB" w:rsidRDefault="0017533E" w:rsidP="0017533E">
            <w:pPr>
              <w:shd w:val="clear" w:color="auto" w:fill="FFFFFF" w:themeFill="background1"/>
              <w:ind w:left="720" w:right="521"/>
              <w:jc w:val="both"/>
              <w:textAlignment w:val="baseline"/>
              <w:rPr>
                <w:rFonts w:ascii="Arial" w:eastAsia="Times New Roman" w:hAnsi="Arial" w:cs="Arial"/>
                <w:lang w:eastAsia="en-PH"/>
              </w:rPr>
            </w:pPr>
            <w:r w:rsidRPr="00097ABB">
              <w:rPr>
                <w:rFonts w:ascii="Arial" w:eastAsia="Times New Roman" w:hAnsi="Arial" w:cs="Arial"/>
                <w:b/>
                <w:bCs/>
                <w:lang w:eastAsia="en-PH"/>
              </w:rPr>
              <w:t xml:space="preserve">Section 8.2. </w:t>
            </w:r>
            <w:r w:rsidRPr="00097ABB">
              <w:rPr>
                <w:rFonts w:ascii="Arial" w:eastAsia="Times New Roman" w:hAnsi="Arial" w:cs="Arial"/>
                <w:lang w:eastAsia="en-PH"/>
              </w:rPr>
              <w:t>In case the Total Trading Amount in the WESM of a PSH Facility of a GEA Winning Bidder is lower than the computed Total GEA Amount for a relevant billing month, the Market Operator shall reflect in the settlement statement of the customers the difference in amount and collect from the buyers their corresponding share on the GEA Shortfall Amount based on the available capacity committed, scheduled, dispatched, as the case may be, in the Energy Market and/or Reserve Market, using the following formula:</w:t>
            </w:r>
          </w:p>
          <w:p w14:paraId="531F71E8" w14:textId="77777777" w:rsidR="0017533E" w:rsidRPr="00097ABB" w:rsidRDefault="0017533E" w:rsidP="0017533E">
            <w:pPr>
              <w:shd w:val="clear" w:color="auto" w:fill="FFFFFF"/>
              <w:ind w:left="1701" w:right="521" w:hanging="981"/>
              <w:jc w:val="both"/>
              <w:textAlignment w:val="baseline"/>
              <w:rPr>
                <w:rFonts w:ascii="Arial" w:hAnsi="Arial" w:cs="Arial"/>
                <w:b/>
                <w:bCs/>
                <w:bdr w:val="none" w:sz="0" w:space="0" w:color="auto" w:frame="1"/>
                <w:shd w:val="clear" w:color="auto" w:fill="FFFFFF"/>
              </w:rPr>
            </w:pPr>
          </w:p>
          <w:p w14:paraId="7861B84E" w14:textId="77777777" w:rsidR="0017533E" w:rsidRPr="00097ABB" w:rsidRDefault="0017533E" w:rsidP="0017533E">
            <w:pPr>
              <w:shd w:val="clear" w:color="auto" w:fill="FFFFFF"/>
              <w:ind w:left="720" w:right="521" w:firstLine="414"/>
              <w:textAlignment w:val="baseline"/>
              <w:rPr>
                <w:rFonts w:ascii="Arial" w:hAnsi="Arial" w:cs="Arial"/>
                <w:b/>
                <w:bCs/>
                <w:bdr w:val="none" w:sz="0" w:space="0" w:color="auto" w:frame="1"/>
                <w:shd w:val="clear" w:color="auto" w:fill="FFFFFF"/>
                <w:lang w:val="en-US"/>
              </w:rPr>
            </w:pPr>
            <w:r w:rsidRPr="00097ABB">
              <w:rPr>
                <w:rFonts w:ascii="Arial" w:hAnsi="Arial" w:cs="Arial"/>
                <w:b/>
                <w:bCs/>
                <w:bdr w:val="none" w:sz="0" w:space="0" w:color="auto" w:frame="1"/>
                <w:shd w:val="clear" w:color="auto" w:fill="FFFFFF"/>
                <w:lang w:val="en-US"/>
              </w:rPr>
              <w:t>TTA-PSH &lt; Total GEA Amount</w:t>
            </w:r>
          </w:p>
          <w:p w14:paraId="0D639820" w14:textId="77777777" w:rsidR="0017533E" w:rsidRPr="00097ABB" w:rsidRDefault="0017533E" w:rsidP="0017533E">
            <w:pPr>
              <w:pStyle w:val="NormalWeb"/>
              <w:shd w:val="clear" w:color="auto" w:fill="FFFFFF"/>
              <w:ind w:left="1440" w:right="521" w:hanging="22"/>
              <w:jc w:val="both"/>
              <w:rPr>
                <w:rFonts w:ascii="Arial" w:hAnsi="Arial" w:cs="Arial"/>
                <w:b/>
                <w:bCs/>
                <w:sz w:val="22"/>
                <w:szCs w:val="22"/>
                <w:lang w:val="en-US"/>
              </w:rPr>
            </w:pPr>
            <w:r w:rsidRPr="00097ABB">
              <w:rPr>
                <w:rFonts w:ascii="Arial" w:hAnsi="Arial" w:cs="Arial"/>
                <w:b/>
                <w:bCs/>
                <w:sz w:val="22"/>
                <w:szCs w:val="22"/>
                <w:lang w:val="en-US"/>
              </w:rPr>
              <w:t>Energy Market</w:t>
            </w:r>
          </w:p>
          <w:p w14:paraId="7A6B60BA" w14:textId="77777777" w:rsidR="0017533E" w:rsidRPr="00097ABB" w:rsidRDefault="0017533E" w:rsidP="0017533E">
            <w:pPr>
              <w:pStyle w:val="NormalWeb"/>
              <w:shd w:val="clear" w:color="auto" w:fill="FFFFFF" w:themeFill="background1"/>
              <w:ind w:left="1440" w:right="521" w:firstLine="720"/>
              <w:jc w:val="both"/>
              <w:rPr>
                <w:rFonts w:ascii="Arial" w:hAnsi="Arial" w:cs="Arial"/>
                <w:sz w:val="16"/>
                <w:szCs w:val="16"/>
              </w:rPr>
            </w:pPr>
            <m:oMathPara>
              <m:oMath>
                <m:r>
                  <m:rPr>
                    <m:sty m:val="bi"/>
                  </m:rPr>
                  <w:rPr>
                    <w:rFonts w:ascii="Cambria Math" w:hAnsi="Cambria Math" w:cs="Arial"/>
                    <w:sz w:val="16"/>
                    <w:szCs w:val="16"/>
                    <w:bdr w:val="none" w:sz="0" w:space="0" w:color="auto" w:frame="1"/>
                    <w:lang w:val="en-US"/>
                  </w:rPr>
                  <m:t>Collection Allocation per buyer</m:t>
                </m:r>
                <m:r>
                  <w:rPr>
                    <w:rFonts w:ascii="Cambria Math" w:hAnsi="Cambria Math" w:cs="Arial"/>
                    <w:sz w:val="16"/>
                    <w:szCs w:val="16"/>
                    <w:bdr w:val="none" w:sz="0" w:space="0" w:color="auto" w:frame="1"/>
                    <w:lang w:val="en-US"/>
                  </w:rPr>
                  <m:t>=</m:t>
                </m:r>
                <m:nary>
                  <m:naryPr>
                    <m:chr m:val="∑"/>
                    <m:limLoc m:val="undOvr"/>
                    <m:supHide m:val="1"/>
                    <m:ctrlPr>
                      <w:rPr>
                        <w:rFonts w:ascii="Cambria Math" w:hAnsi="Cambria Math" w:cs="Arial"/>
                        <w:i/>
                        <w:sz w:val="16"/>
                        <w:szCs w:val="16"/>
                        <w:bdr w:val="none" w:sz="0" w:space="0" w:color="auto" w:frame="1"/>
                        <w:lang w:val="en-US"/>
                      </w:rPr>
                    </m:ctrlPr>
                  </m:naryPr>
                  <m:sub>
                    <m:r>
                      <w:rPr>
                        <w:rFonts w:ascii="Cambria Math" w:hAnsi="Cambria Math" w:cs="Arial"/>
                        <w:sz w:val="16"/>
                        <w:szCs w:val="16"/>
                        <w:bdr w:val="none" w:sz="0" w:space="0" w:color="auto" w:frame="1"/>
                        <w:lang w:val="en-US"/>
                      </w:rPr>
                      <m:t>i∈h</m:t>
                    </m:r>
                  </m:sub>
                  <m:sup/>
                  <m:e>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(GEASA</m:t>
                        </m:r>
                      </m:e>
                      <m:sub>
                        <m:r>
                          <w:rPr>
                            <w:rFonts w:ascii="Cambria Math" w:hAnsi="Cambria Math" w:cs="Arial"/>
                            <w:sz w:val="16"/>
                            <w:szCs w:val="16"/>
                            <w:bdr w:val="none" w:sz="0" w:space="0" w:color="auto" w:frame="1"/>
                            <w:lang w:val="en-US"/>
                          </w:rPr>
                          <m:t>i</m:t>
                        </m:r>
                      </m:sub>
                    </m:sSub>
                    <m:r>
                      <w:rPr>
                        <w:rFonts w:ascii="Cambria Math" w:hAnsi="Cambria Math" w:cs="Arial"/>
                        <w:sz w:val="16"/>
                        <w:szCs w:val="16"/>
                        <w:bdr w:val="none" w:sz="0" w:space="0" w:color="auto" w:frame="1"/>
                        <w:lang w:val="en-US"/>
                      </w:rPr>
                      <m:t>)</m:t>
                    </m:r>
                  </m:e>
                </m:nary>
                <m:r>
                  <w:rPr>
                    <w:rFonts w:ascii="Cambria Math" w:hAnsi="Cambria Math" w:cs="Arial"/>
                    <w:sz w:val="16"/>
                    <w:szCs w:val="16"/>
                    <w:bdr w:val="none" w:sz="0" w:space="0" w:color="auto" w:frame="1"/>
                    <w:lang w:val="en-US"/>
                  </w:rPr>
                  <m:t xml:space="preserve"> × </m:t>
                </m:r>
                <m:f>
                  <m:fPr>
                    <m:ctrlPr>
                      <w:rPr>
                        <w:rFonts w:ascii="Cambria Math" w:hAnsi="Cambria Math" w:cs="Arial"/>
                        <w:i/>
                        <w:sz w:val="16"/>
                        <w:szCs w:val="16"/>
                        <w:bdr w:val="none" w:sz="0" w:space="0" w:color="auto" w:frame="1"/>
                        <w:lang w:val="en-US"/>
                      </w:rPr>
                    </m:ctrlPr>
                  </m:fPr>
                  <m:num>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GESQ</m:t>
                        </m:r>
                      </m:e>
                      <m:sub>
                        <m:r>
                          <w:rPr>
                            <w:rFonts w:ascii="Cambria Math" w:hAnsi="Cambria Math" w:cs="Arial"/>
                            <w:sz w:val="16"/>
                            <w:szCs w:val="16"/>
                            <w:bdr w:val="none" w:sz="0" w:space="0" w:color="auto" w:frame="1"/>
                            <w:lang w:val="en-US"/>
                          </w:rPr>
                          <m:t>C</m:t>
                        </m:r>
                      </m:sub>
                    </m:sSub>
                  </m:num>
                  <m:den>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GESQ</m:t>
                        </m:r>
                      </m:e>
                      <m:sub>
                        <m:r>
                          <w:rPr>
                            <w:rFonts w:ascii="Cambria Math" w:hAnsi="Cambria Math" w:cs="Arial"/>
                            <w:sz w:val="16"/>
                            <w:szCs w:val="16"/>
                            <w:bdr w:val="none" w:sz="0" w:space="0" w:color="auto" w:frame="1"/>
                            <w:lang w:val="en-US"/>
                          </w:rPr>
                          <m:t>ctotal</m:t>
                        </m:r>
                      </m:sub>
                    </m:sSub>
                  </m:den>
                </m:f>
              </m:oMath>
            </m:oMathPara>
          </w:p>
          <w:p w14:paraId="0F06B833" w14:textId="3D6F2B40" w:rsidR="0017533E" w:rsidRPr="00097ABB" w:rsidRDefault="0017533E" w:rsidP="00097ABB">
            <w:pPr>
              <w:pStyle w:val="NormalWeb"/>
              <w:shd w:val="clear" w:color="auto" w:fill="FFFFFF"/>
              <w:ind w:left="720" w:right="521"/>
              <w:jc w:val="both"/>
              <w:rPr>
                <w:rFonts w:ascii="Arial" w:hAnsi="Arial" w:cs="Arial"/>
                <w:sz w:val="22"/>
                <w:szCs w:val="22"/>
                <w:bdr w:val="none" w:sz="0" w:space="0" w:color="auto" w:frame="1"/>
                <w:lang w:val="en-US"/>
              </w:rPr>
            </w:pPr>
            <w:r w:rsidRPr="00097ABB">
              <w:rPr>
                <w:rFonts w:ascii="Arial" w:hAnsi="Arial" w:cs="Arial"/>
                <w:sz w:val="22"/>
                <w:szCs w:val="22"/>
                <w:bdr w:val="none" w:sz="0" w:space="0" w:color="auto" w:frame="1"/>
                <w:lang w:val="en-US"/>
              </w:rPr>
              <w:tab/>
              <w:t>Where:</w:t>
            </w:r>
          </w:p>
          <w:p w14:paraId="00A807A7" w14:textId="77777777" w:rsidR="0017533E" w:rsidRPr="00097ABB" w:rsidRDefault="0017533E" w:rsidP="0017533E">
            <w:pPr>
              <w:pStyle w:val="NormalWeb"/>
              <w:shd w:val="clear" w:color="auto" w:fill="FFFFFF"/>
              <w:ind w:left="1418"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t>Collection Allocation per buyer</w:t>
            </w:r>
            <w:r w:rsidRPr="00097ABB">
              <w:rPr>
                <w:rFonts w:ascii="Arial" w:hAnsi="Arial" w:cs="Arial"/>
                <w:sz w:val="22"/>
                <w:szCs w:val="22"/>
                <w:bdr w:val="none" w:sz="0" w:space="0" w:color="auto" w:frame="1"/>
                <w:lang w:val="en-US"/>
              </w:rPr>
              <w:t xml:space="preserve"> is the buyer’s share in the GEA Shortfall Amount in </w:t>
            </w:r>
            <w:proofErr w:type="spellStart"/>
            <w:r w:rsidRPr="00097ABB">
              <w:rPr>
                <w:rFonts w:ascii="Arial" w:hAnsi="Arial" w:cs="Arial"/>
                <w:sz w:val="22"/>
                <w:szCs w:val="22"/>
                <w:bdr w:val="none" w:sz="0" w:space="0" w:color="auto" w:frame="1"/>
                <w:lang w:val="en-US"/>
              </w:rPr>
              <w:t>PhP</w:t>
            </w:r>
            <w:proofErr w:type="spellEnd"/>
            <w:r w:rsidRPr="00097ABB">
              <w:rPr>
                <w:rFonts w:ascii="Arial" w:hAnsi="Arial" w:cs="Arial"/>
                <w:sz w:val="22"/>
                <w:szCs w:val="22"/>
                <w:bdr w:val="none" w:sz="0" w:space="0" w:color="auto" w:frame="1"/>
                <w:lang w:val="en-US"/>
              </w:rPr>
              <w:t xml:space="preserve"> at settlement interval h in the Energy Market.</w:t>
            </w:r>
          </w:p>
          <w:p w14:paraId="598FE43A" w14:textId="77777777" w:rsidR="0017533E" w:rsidRPr="00097ABB" w:rsidRDefault="0017533E" w:rsidP="0017533E">
            <w:pPr>
              <w:pStyle w:val="NormalWeb"/>
              <w:shd w:val="clear" w:color="auto" w:fill="FFFFFF"/>
              <w:ind w:left="1418" w:right="521"/>
              <w:jc w:val="both"/>
              <w:rPr>
                <w:rFonts w:ascii="Arial" w:hAnsi="Arial" w:cs="Arial"/>
                <w:sz w:val="22"/>
                <w:szCs w:val="22"/>
                <w:lang w:val="en-US"/>
              </w:rPr>
            </w:pPr>
            <w:r w:rsidRPr="00097ABB">
              <w:rPr>
                <w:rFonts w:ascii="Arial" w:hAnsi="Arial" w:cs="Arial"/>
                <w:b/>
                <w:bCs/>
                <w:sz w:val="22"/>
                <w:szCs w:val="22"/>
                <w:lang w:val="en-US"/>
              </w:rPr>
              <w:t>GEA Shortfall Amount (GEASA)</w:t>
            </w:r>
            <w:r w:rsidRPr="00097ABB">
              <w:rPr>
                <w:rFonts w:ascii="Arial" w:hAnsi="Arial" w:cs="Arial"/>
                <w:sz w:val="22"/>
                <w:szCs w:val="22"/>
                <w:lang w:val="en-US"/>
              </w:rPr>
              <w:t xml:space="preserve"> is the difference between TTA-PSH and GEAA per </w:t>
            </w:r>
            <w:r w:rsidRPr="00097ABB">
              <w:rPr>
                <w:rFonts w:ascii="Arial" w:hAnsi="Arial" w:cs="Arial"/>
                <w:sz w:val="22"/>
                <w:szCs w:val="22"/>
                <w:lang w:val="en-US"/>
              </w:rPr>
              <w:lastRenderedPageBreak/>
              <w:t xml:space="preserve">trading interval </w:t>
            </w:r>
            <w:proofErr w:type="spellStart"/>
            <w:r w:rsidRPr="00097ABB">
              <w:rPr>
                <w:rFonts w:ascii="Arial" w:hAnsi="Arial" w:cs="Arial"/>
                <w:sz w:val="22"/>
                <w:szCs w:val="22"/>
                <w:lang w:val="en-US"/>
              </w:rPr>
              <w:t>i</w:t>
            </w:r>
            <w:proofErr w:type="spellEnd"/>
            <w:r w:rsidRPr="00097ABB">
              <w:rPr>
                <w:rFonts w:ascii="Arial" w:hAnsi="Arial" w:cs="Arial"/>
                <w:sz w:val="22"/>
                <w:szCs w:val="22"/>
                <w:lang w:val="en-US"/>
              </w:rPr>
              <w:t xml:space="preserve"> where TTA-PSH is lower than GEAA in </w:t>
            </w:r>
            <w:proofErr w:type="spellStart"/>
            <w:r w:rsidRPr="00097ABB">
              <w:rPr>
                <w:rFonts w:ascii="Arial" w:hAnsi="Arial" w:cs="Arial"/>
                <w:sz w:val="22"/>
                <w:szCs w:val="22"/>
                <w:lang w:val="en-US"/>
              </w:rPr>
              <w:t>PhP</w:t>
            </w:r>
            <w:proofErr w:type="spellEnd"/>
            <w:r w:rsidRPr="00097ABB">
              <w:rPr>
                <w:rFonts w:ascii="Arial" w:hAnsi="Arial" w:cs="Arial"/>
                <w:sz w:val="22"/>
                <w:szCs w:val="22"/>
                <w:lang w:val="en-US"/>
              </w:rPr>
              <w:t>.</w:t>
            </w:r>
          </w:p>
          <w:p w14:paraId="5192B6DD" w14:textId="77777777" w:rsidR="0017533E" w:rsidRPr="00097ABB" w:rsidRDefault="0017533E" w:rsidP="0017533E">
            <w:pPr>
              <w:pStyle w:val="NormalWeb"/>
              <w:shd w:val="clear" w:color="auto" w:fill="FFFFFF"/>
              <w:ind w:left="2466" w:right="521" w:firstLine="936"/>
              <w:jc w:val="center"/>
              <w:rPr>
                <w:rFonts w:ascii="Arial" w:hAnsi="Arial" w:cs="Arial"/>
                <w:sz w:val="18"/>
                <w:szCs w:val="18"/>
                <w:bdr w:val="none" w:sz="0" w:space="0" w:color="auto" w:frame="1"/>
                <w:lang w:val="en-US"/>
              </w:rPr>
            </w:pPr>
            <m:oMathPara>
              <m:oMath>
                <m:r>
                  <m:rPr>
                    <m:sty m:val="bi"/>
                  </m:rPr>
                  <w:rPr>
                    <w:rFonts w:ascii="Cambria Math" w:hAnsi="Cambria Math" w:cs="Arial"/>
                    <w:sz w:val="18"/>
                    <w:szCs w:val="18"/>
                    <w:lang w:val="en-US"/>
                  </w:rPr>
                  <m:t>GEASA</m:t>
                </m:r>
                <m:r>
                  <w:rPr>
                    <w:rFonts w:ascii="Cambria Math" w:hAnsi="Cambria Math" w:cs="Arial"/>
                    <w:sz w:val="18"/>
                    <w:szCs w:val="18"/>
                    <w:lang w:val="en-US"/>
                  </w:rPr>
                  <m:t xml:space="preserve">=(TTA-PSH- GEAA)× </m:t>
                </m:r>
                <m:f>
                  <m:fPr>
                    <m:ctrlPr>
                      <w:rPr>
                        <w:rFonts w:ascii="Cambria Math" w:hAnsi="Cambria Math" w:cs="Arial"/>
                        <w:i/>
                        <w:sz w:val="18"/>
                        <w:szCs w:val="18"/>
                        <w:lang w:val="en-US"/>
                      </w:rPr>
                    </m:ctrlPr>
                  </m:fPr>
                  <m:num>
                    <m:r>
                      <w:rPr>
                        <w:rFonts w:ascii="Cambria Math" w:hAnsi="Cambria Math" w:cs="Arial"/>
                        <w:sz w:val="18"/>
                        <w:szCs w:val="18"/>
                        <w:lang w:val="en-US"/>
                      </w:rPr>
                      <m:t>GSCEM</m:t>
                    </m:r>
                  </m:num>
                  <m:den>
                    <m:r>
                      <w:rPr>
                        <w:rFonts w:ascii="Cambria Math" w:hAnsi="Cambria Math" w:cs="Arial"/>
                        <w:sz w:val="18"/>
                        <w:szCs w:val="18"/>
                        <w:lang w:val="en-US"/>
                      </w:rPr>
                      <m:t>TAC</m:t>
                    </m:r>
                  </m:den>
                </m:f>
              </m:oMath>
            </m:oMathPara>
          </w:p>
          <w:p w14:paraId="738870AA" w14:textId="64556B86" w:rsidR="0017533E" w:rsidRPr="00097ABB" w:rsidRDefault="0017533E" w:rsidP="00097ABB">
            <w:pPr>
              <w:pStyle w:val="NormalWeb"/>
              <w:shd w:val="clear" w:color="auto" w:fill="FFFFFF"/>
              <w:ind w:right="521"/>
              <w:jc w:val="both"/>
              <w:rPr>
                <w:rFonts w:ascii="Arial" w:hAnsi="Arial" w:cs="Arial"/>
                <w:sz w:val="22"/>
                <w:szCs w:val="22"/>
              </w:rPr>
            </w:pPr>
            <w:r w:rsidRPr="00097ABB">
              <w:rPr>
                <w:rFonts w:ascii="Arial" w:hAnsi="Arial" w:cs="Arial"/>
                <w:sz w:val="22"/>
                <w:szCs w:val="22"/>
              </w:rPr>
              <w:tab/>
            </w:r>
            <w:r w:rsidRPr="00097ABB">
              <w:rPr>
                <w:rFonts w:ascii="Arial" w:hAnsi="Arial" w:cs="Arial"/>
                <w:sz w:val="22"/>
                <w:szCs w:val="22"/>
              </w:rPr>
              <w:tab/>
            </w:r>
            <w:r w:rsidRPr="00097ABB">
              <w:rPr>
                <w:rFonts w:ascii="Arial" w:hAnsi="Arial" w:cs="Arial"/>
                <w:sz w:val="22"/>
                <w:szCs w:val="22"/>
              </w:rPr>
              <w:tab/>
            </w:r>
            <w:proofErr w:type="gramStart"/>
            <w:r w:rsidRPr="00097ABB">
              <w:rPr>
                <w:rFonts w:ascii="Arial" w:hAnsi="Arial" w:cs="Arial"/>
                <w:sz w:val="22"/>
                <w:szCs w:val="22"/>
              </w:rPr>
              <w:t>Where;</w:t>
            </w:r>
            <w:proofErr w:type="gramEnd"/>
          </w:p>
          <w:p w14:paraId="2D032A5C" w14:textId="77777777" w:rsidR="0017533E" w:rsidRPr="00097ABB" w:rsidRDefault="0017533E" w:rsidP="0017533E">
            <w:pPr>
              <w:pStyle w:val="NormalWeb"/>
              <w:shd w:val="clear" w:color="auto" w:fill="FFFFFF"/>
              <w:ind w:left="2127"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t xml:space="preserve">GSCEM </w:t>
            </w:r>
            <w:r w:rsidRPr="00097ABB">
              <w:rPr>
                <w:rFonts w:ascii="Arial" w:hAnsi="Arial" w:cs="Arial"/>
                <w:sz w:val="22"/>
                <w:szCs w:val="22"/>
                <w:bdr w:val="none" w:sz="0" w:space="0" w:color="auto" w:frame="1"/>
                <w:lang w:val="en-US"/>
              </w:rPr>
              <w:t>is the Gross Scheduled Capacity in either the Energy Market or the Reserve Market, with Energy Dispatched in the Energy Market.</w:t>
            </w:r>
          </w:p>
          <w:p w14:paraId="696BC46B" w14:textId="77777777" w:rsidR="0017533E" w:rsidRPr="00097ABB" w:rsidRDefault="0017533E" w:rsidP="0017533E">
            <w:pPr>
              <w:pStyle w:val="NormalWeb"/>
              <w:shd w:val="clear" w:color="auto" w:fill="FFFFFF"/>
              <w:ind w:left="2127" w:right="521"/>
              <w:jc w:val="both"/>
              <w:rPr>
                <w:rFonts w:ascii="Arial" w:hAnsi="Arial" w:cs="Arial"/>
                <w:sz w:val="22"/>
                <w:szCs w:val="22"/>
              </w:rPr>
            </w:pPr>
            <w:r w:rsidRPr="00097ABB">
              <w:rPr>
                <w:rFonts w:ascii="Arial" w:hAnsi="Arial" w:cs="Arial"/>
                <w:b/>
                <w:bCs/>
                <w:sz w:val="22"/>
                <w:szCs w:val="22"/>
                <w:bdr w:val="none" w:sz="0" w:space="0" w:color="auto" w:frame="1"/>
                <w:lang w:val="en-US"/>
              </w:rPr>
              <w:t xml:space="preserve">TAC </w:t>
            </w:r>
            <w:r w:rsidRPr="00097ABB">
              <w:rPr>
                <w:rFonts w:ascii="Arial" w:hAnsi="Arial" w:cs="Arial"/>
                <w:sz w:val="22"/>
                <w:szCs w:val="22"/>
                <w:bdr w:val="none" w:sz="0" w:space="0" w:color="auto" w:frame="1"/>
                <w:lang w:val="en-US"/>
              </w:rPr>
              <w:t xml:space="preserve">is the Total Available Capacity of the PSH Facility that may be </w:t>
            </w:r>
            <w:r w:rsidRPr="00097ABB">
              <w:rPr>
                <w:rFonts w:ascii="Arial" w:hAnsi="Arial" w:cs="Arial"/>
                <w:sz w:val="22"/>
                <w:szCs w:val="22"/>
                <w:bdr w:val="none" w:sz="0" w:space="0" w:color="auto" w:frame="1"/>
              </w:rPr>
              <w:t>committed, scheduled and/or dispatched in the WESM.</w:t>
            </w:r>
          </w:p>
          <w:p w14:paraId="52013914" w14:textId="77777777" w:rsidR="0017533E" w:rsidRPr="00097ABB" w:rsidRDefault="0017533E" w:rsidP="0017533E">
            <w:pPr>
              <w:pStyle w:val="NormalWeb"/>
              <w:shd w:val="clear" w:color="auto" w:fill="FFFFFF"/>
              <w:ind w:left="1418"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t xml:space="preserve">GESQ </w:t>
            </w:r>
            <w:r w:rsidRPr="00097ABB">
              <w:rPr>
                <w:rFonts w:ascii="Arial" w:hAnsi="Arial" w:cs="Arial"/>
                <w:sz w:val="22"/>
                <w:szCs w:val="22"/>
                <w:bdr w:val="none" w:sz="0" w:space="0" w:color="auto" w:frame="1"/>
                <w:lang w:val="en-US"/>
              </w:rPr>
              <w:t>is the gross energy settlement quantity of electricity sold or purchased as determined in WESM Rules in MWh.</w:t>
            </w:r>
          </w:p>
          <w:p w14:paraId="1BE26A2C" w14:textId="0CC01E77" w:rsidR="0017533E" w:rsidRPr="00097ABB" w:rsidRDefault="0017533E" w:rsidP="0017533E">
            <w:pPr>
              <w:pStyle w:val="NormalWeb"/>
              <w:shd w:val="clear" w:color="auto" w:fill="FFFFFF"/>
              <w:ind w:left="1418" w:right="521"/>
              <w:jc w:val="both"/>
              <w:rPr>
                <w:rFonts w:ascii="Arial" w:hAnsi="Arial" w:cs="Arial"/>
                <w:sz w:val="22"/>
                <w:szCs w:val="22"/>
                <w:bdr w:val="none" w:sz="0" w:space="0" w:color="auto" w:frame="1"/>
                <w:lang w:val="en-US"/>
              </w:rPr>
            </w:pPr>
            <w:proofErr w:type="spellStart"/>
            <w:r w:rsidRPr="00097ABB">
              <w:rPr>
                <w:rFonts w:ascii="Arial" w:hAnsi="Arial" w:cs="Arial"/>
                <w:b/>
                <w:bCs/>
                <w:sz w:val="22"/>
                <w:szCs w:val="22"/>
                <w:bdr w:val="none" w:sz="0" w:space="0" w:color="auto" w:frame="1"/>
                <w:lang w:val="en-US"/>
              </w:rPr>
              <w:t>GESQ</w:t>
            </w:r>
            <w:r w:rsidRPr="00097ABB">
              <w:rPr>
                <w:rFonts w:ascii="Arial" w:hAnsi="Arial" w:cs="Arial"/>
                <w:b/>
                <w:bCs/>
                <w:sz w:val="22"/>
                <w:szCs w:val="22"/>
                <w:bdr w:val="none" w:sz="0" w:space="0" w:color="auto" w:frame="1"/>
                <w:vertAlign w:val="subscript"/>
                <w:lang w:val="en-US"/>
              </w:rPr>
              <w:t>c</w:t>
            </w:r>
            <w:proofErr w:type="spellEnd"/>
            <w:r w:rsidRPr="00097ABB">
              <w:rPr>
                <w:rFonts w:ascii="Arial" w:hAnsi="Arial" w:cs="Arial"/>
                <w:b/>
                <w:bCs/>
                <w:sz w:val="22"/>
                <w:szCs w:val="22"/>
                <w:bdr w:val="none" w:sz="0" w:space="0" w:color="auto" w:frame="1"/>
                <w:lang w:val="en-US"/>
              </w:rPr>
              <w:t xml:space="preserve"> </w:t>
            </w:r>
            <w:r w:rsidRPr="00097ABB">
              <w:rPr>
                <w:rFonts w:ascii="Arial" w:hAnsi="Arial" w:cs="Arial"/>
                <w:sz w:val="22"/>
                <w:szCs w:val="22"/>
                <w:bdr w:val="none" w:sz="0" w:space="0" w:color="auto" w:frame="1"/>
                <w:lang w:val="en-US"/>
              </w:rPr>
              <w:t>is the GESQ for customer c (buyer in the WESM) for the billing month in MWh.</w:t>
            </w:r>
          </w:p>
          <w:p w14:paraId="72BFA8B9" w14:textId="77777777" w:rsidR="0017533E" w:rsidRPr="00097ABB" w:rsidRDefault="0017533E" w:rsidP="0017533E">
            <w:pPr>
              <w:pStyle w:val="NormalWeb"/>
              <w:shd w:val="clear" w:color="auto" w:fill="FFFFFF"/>
              <w:ind w:left="1418" w:right="521"/>
              <w:jc w:val="both"/>
              <w:rPr>
                <w:rFonts w:ascii="Arial" w:hAnsi="Arial" w:cs="Arial"/>
                <w:sz w:val="22"/>
                <w:szCs w:val="22"/>
                <w:bdr w:val="none" w:sz="0" w:space="0" w:color="auto" w:frame="1"/>
                <w:lang w:val="en-US"/>
              </w:rPr>
            </w:pPr>
            <w:proofErr w:type="spellStart"/>
            <w:r w:rsidRPr="00097ABB">
              <w:rPr>
                <w:rFonts w:ascii="Arial" w:hAnsi="Arial" w:cs="Arial"/>
                <w:b/>
                <w:bCs/>
                <w:sz w:val="22"/>
                <w:szCs w:val="22"/>
                <w:bdr w:val="none" w:sz="0" w:space="0" w:color="auto" w:frame="1"/>
                <w:lang w:val="en-US"/>
              </w:rPr>
              <w:t>GESQ</w:t>
            </w:r>
            <w:r w:rsidRPr="00097ABB">
              <w:rPr>
                <w:rFonts w:ascii="Arial" w:hAnsi="Arial" w:cs="Arial"/>
                <w:b/>
                <w:bCs/>
                <w:sz w:val="22"/>
                <w:szCs w:val="22"/>
                <w:bdr w:val="none" w:sz="0" w:space="0" w:color="auto" w:frame="1"/>
                <w:vertAlign w:val="subscript"/>
                <w:lang w:val="en-US"/>
              </w:rPr>
              <w:t>ctotal</w:t>
            </w:r>
            <w:proofErr w:type="spellEnd"/>
            <w:r w:rsidRPr="00097ABB">
              <w:rPr>
                <w:rFonts w:ascii="Arial" w:hAnsi="Arial" w:cs="Arial"/>
                <w:b/>
                <w:bCs/>
                <w:sz w:val="22"/>
                <w:szCs w:val="22"/>
                <w:bdr w:val="none" w:sz="0" w:space="0" w:color="auto" w:frame="1"/>
                <w:lang w:val="en-US"/>
              </w:rPr>
              <w:t xml:space="preserve"> </w:t>
            </w:r>
            <w:r w:rsidRPr="00097ABB">
              <w:rPr>
                <w:rFonts w:ascii="Arial" w:hAnsi="Arial" w:cs="Arial"/>
                <w:sz w:val="22"/>
                <w:szCs w:val="22"/>
                <w:bdr w:val="none" w:sz="0" w:space="0" w:color="auto" w:frame="1"/>
                <w:lang w:val="en-US"/>
              </w:rPr>
              <w:t>is the total customer GESQ (buyers in the WESM) for the billing month in MWh.</w:t>
            </w:r>
            <w:r w:rsidRPr="00097ABB" w:rsidDel="00742D2E">
              <w:rPr>
                <w:rFonts w:ascii="Arial" w:hAnsi="Arial" w:cs="Arial"/>
                <w:b/>
                <w:bCs/>
                <w:sz w:val="22"/>
                <w:szCs w:val="22"/>
                <w:bdr w:val="none" w:sz="0" w:space="0" w:color="auto" w:frame="1"/>
                <w:lang w:val="en-US"/>
              </w:rPr>
              <w:t xml:space="preserve"> </w:t>
            </w:r>
          </w:p>
          <w:p w14:paraId="74032956" w14:textId="77777777" w:rsidR="0017533E" w:rsidRPr="00097ABB" w:rsidRDefault="0017533E" w:rsidP="0017533E">
            <w:pPr>
              <w:shd w:val="clear" w:color="auto" w:fill="FFFFFF"/>
              <w:ind w:left="698" w:right="521" w:firstLine="720"/>
              <w:jc w:val="both"/>
              <w:textAlignment w:val="baseline"/>
              <w:rPr>
                <w:rFonts w:ascii="Arial" w:eastAsia="Times New Roman" w:hAnsi="Arial" w:cs="Arial"/>
                <w:b/>
                <w:bCs/>
                <w:bdr w:val="none" w:sz="0" w:space="0" w:color="auto" w:frame="1"/>
                <w:lang w:eastAsia="en-PH"/>
              </w:rPr>
            </w:pPr>
            <w:r w:rsidRPr="00097ABB">
              <w:rPr>
                <w:rFonts w:ascii="Arial" w:eastAsia="Times New Roman" w:hAnsi="Arial" w:cs="Arial"/>
                <w:b/>
                <w:bCs/>
                <w:bdr w:val="none" w:sz="0" w:space="0" w:color="auto" w:frame="1"/>
                <w:lang w:eastAsia="en-PH"/>
              </w:rPr>
              <w:t>Reserve Market</w:t>
            </w:r>
          </w:p>
          <w:p w14:paraId="4D483720" w14:textId="77777777" w:rsidR="0017533E" w:rsidRPr="00097ABB" w:rsidRDefault="0017533E" w:rsidP="0017533E">
            <w:pPr>
              <w:pStyle w:val="NormalWeb"/>
              <w:shd w:val="clear" w:color="auto" w:fill="FFFFFF" w:themeFill="background1"/>
              <w:ind w:left="1440" w:right="521" w:firstLine="720"/>
              <w:jc w:val="both"/>
              <w:rPr>
                <w:rFonts w:ascii="Arial" w:hAnsi="Arial" w:cs="Arial"/>
                <w:sz w:val="16"/>
                <w:szCs w:val="16"/>
              </w:rPr>
            </w:pPr>
            <m:oMathPara>
              <m:oMath>
                <m:r>
                  <m:rPr>
                    <m:sty m:val="bi"/>
                  </m:rPr>
                  <w:rPr>
                    <w:rFonts w:ascii="Cambria Math" w:hAnsi="Cambria Math" w:cs="Arial"/>
                    <w:sz w:val="16"/>
                    <w:szCs w:val="16"/>
                    <w:bdr w:val="none" w:sz="0" w:space="0" w:color="auto" w:frame="1"/>
                    <w:lang w:val="en-US"/>
                  </w:rPr>
                  <m:t>Collection Allocation per buyer</m:t>
                </m:r>
                <m:r>
                  <w:rPr>
                    <w:rFonts w:ascii="Cambria Math" w:hAnsi="Cambria Math" w:cs="Arial"/>
                    <w:sz w:val="16"/>
                    <w:szCs w:val="16"/>
                    <w:bdr w:val="none" w:sz="0" w:space="0" w:color="auto" w:frame="1"/>
                    <w:lang w:val="en-US"/>
                  </w:rPr>
                  <m:t>=</m:t>
                </m:r>
                <m:nary>
                  <m:naryPr>
                    <m:chr m:val="∑"/>
                    <m:limLoc m:val="undOvr"/>
                    <m:supHide m:val="1"/>
                    <m:ctrlPr>
                      <w:rPr>
                        <w:rFonts w:ascii="Cambria Math" w:hAnsi="Cambria Math" w:cs="Arial"/>
                        <w:i/>
                        <w:sz w:val="16"/>
                        <w:szCs w:val="16"/>
                        <w:bdr w:val="none" w:sz="0" w:space="0" w:color="auto" w:frame="1"/>
                        <w:lang w:val="en-US"/>
                      </w:rPr>
                    </m:ctrlPr>
                  </m:naryPr>
                  <m:sub>
                    <m:r>
                      <w:rPr>
                        <w:rFonts w:ascii="Cambria Math" w:hAnsi="Cambria Math" w:cs="Arial"/>
                        <w:sz w:val="16"/>
                        <w:szCs w:val="16"/>
                        <w:bdr w:val="none" w:sz="0" w:space="0" w:color="auto" w:frame="1"/>
                        <w:lang w:val="en-US"/>
                      </w:rPr>
                      <m:t>i∈h</m:t>
                    </m:r>
                  </m:sub>
                  <m:sup/>
                  <m:e>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GEASA</m:t>
                        </m:r>
                      </m:e>
                      <m:sub>
                        <m:r>
                          <w:rPr>
                            <w:rFonts w:ascii="Cambria Math" w:hAnsi="Cambria Math" w:cs="Arial"/>
                            <w:sz w:val="16"/>
                            <w:szCs w:val="16"/>
                            <w:bdr w:val="none" w:sz="0" w:space="0" w:color="auto" w:frame="1"/>
                            <w:lang w:val="en-US"/>
                          </w:rPr>
                          <m:t xml:space="preserve">i </m:t>
                        </m:r>
                      </m:sub>
                    </m:sSub>
                    <m:r>
                      <w:rPr>
                        <w:rFonts w:ascii="Cambria Math" w:hAnsi="Cambria Math" w:cs="Arial"/>
                        <w:sz w:val="16"/>
                        <w:szCs w:val="16"/>
                        <w:bdr w:val="none" w:sz="0" w:space="0" w:color="auto" w:frame="1"/>
                        <w:lang w:val="en-US"/>
                      </w:rPr>
                      <m:t xml:space="preserve">× </m:t>
                    </m:r>
                    <m:f>
                      <m:fPr>
                        <m:ctrlPr>
                          <w:rPr>
                            <w:rFonts w:ascii="Cambria Math" w:hAnsi="Cambria Math" w:cs="Arial"/>
                            <w:i/>
                            <w:sz w:val="16"/>
                            <w:szCs w:val="16"/>
                            <w:bdr w:val="none" w:sz="0" w:space="0" w:color="auto" w:frame="1"/>
                            <w:lang w:val="en-US"/>
                          </w:rPr>
                        </m:ctrlPr>
                      </m:fPr>
                      <m:num>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GRSQ</m:t>
                            </m:r>
                          </m:e>
                          <m:sub>
                            <m:r>
                              <w:rPr>
                                <w:rFonts w:ascii="Cambria Math" w:hAnsi="Cambria Math" w:cs="Arial"/>
                                <w:sz w:val="16"/>
                                <w:szCs w:val="16"/>
                                <w:bdr w:val="none" w:sz="0" w:space="0" w:color="auto" w:frame="1"/>
                                <w:lang w:val="en-US"/>
                              </w:rPr>
                              <m:t>C</m:t>
                            </m:r>
                          </m:sub>
                        </m:sSub>
                      </m:num>
                      <m:den>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GRSQ</m:t>
                            </m:r>
                          </m:e>
                          <m:sub>
                            <m:r>
                              <w:rPr>
                                <w:rFonts w:ascii="Cambria Math" w:hAnsi="Cambria Math" w:cs="Arial"/>
                                <w:sz w:val="16"/>
                                <w:szCs w:val="16"/>
                                <w:bdr w:val="none" w:sz="0" w:space="0" w:color="auto" w:frame="1"/>
                                <w:lang w:val="en-US"/>
                              </w:rPr>
                              <m:t>ctotal</m:t>
                            </m:r>
                          </m:sub>
                        </m:sSub>
                      </m:den>
                    </m:f>
                  </m:e>
                </m:nary>
                <m:r>
                  <w:rPr>
                    <w:rFonts w:ascii="Cambria Math" w:hAnsi="Cambria Math" w:cs="Arial"/>
                    <w:sz w:val="16"/>
                    <w:szCs w:val="16"/>
                    <w:bdr w:val="none" w:sz="0" w:space="0" w:color="auto" w:frame="1"/>
                    <w:lang w:val="en-US"/>
                  </w:rPr>
                  <m:t xml:space="preserve"> </m:t>
                </m:r>
              </m:oMath>
            </m:oMathPara>
          </w:p>
          <w:p w14:paraId="15C6ED3E" w14:textId="77777777" w:rsidR="0017533E" w:rsidRPr="00097ABB" w:rsidRDefault="0017533E" w:rsidP="0017533E">
            <w:pPr>
              <w:pStyle w:val="NormalWeb"/>
              <w:shd w:val="clear" w:color="auto" w:fill="FFFFFF"/>
              <w:ind w:left="720" w:right="521" w:firstLine="720"/>
              <w:jc w:val="both"/>
              <w:rPr>
                <w:rFonts w:ascii="Arial" w:hAnsi="Arial" w:cs="Arial"/>
                <w:sz w:val="22"/>
                <w:szCs w:val="22"/>
                <w:bdr w:val="none" w:sz="0" w:space="0" w:color="auto" w:frame="1"/>
                <w:lang w:val="en-US"/>
              </w:rPr>
            </w:pPr>
            <w:r w:rsidRPr="00097ABB">
              <w:rPr>
                <w:rFonts w:ascii="Arial" w:hAnsi="Arial" w:cs="Arial"/>
                <w:sz w:val="22"/>
                <w:szCs w:val="22"/>
                <w:bdr w:val="none" w:sz="0" w:space="0" w:color="auto" w:frame="1"/>
                <w:lang w:val="en-US"/>
              </w:rPr>
              <w:t>Where: </w:t>
            </w:r>
          </w:p>
          <w:p w14:paraId="0B8820AB" w14:textId="77777777" w:rsidR="0017533E" w:rsidRPr="00097ABB" w:rsidRDefault="0017533E" w:rsidP="0017533E">
            <w:pPr>
              <w:pStyle w:val="NormalWeb"/>
              <w:shd w:val="clear" w:color="auto" w:fill="FFFFFF"/>
              <w:ind w:left="720" w:right="521"/>
              <w:jc w:val="both"/>
              <w:rPr>
                <w:rFonts w:ascii="Arial" w:hAnsi="Arial" w:cs="Arial"/>
                <w:sz w:val="22"/>
                <w:szCs w:val="22"/>
              </w:rPr>
            </w:pPr>
          </w:p>
          <w:p w14:paraId="0059FBFE" w14:textId="77777777" w:rsidR="0017533E" w:rsidRPr="00097ABB" w:rsidRDefault="0017533E" w:rsidP="0017533E">
            <w:pPr>
              <w:pStyle w:val="NormalWeb"/>
              <w:shd w:val="clear" w:color="auto" w:fill="FFFFFF"/>
              <w:ind w:left="1440"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lastRenderedPageBreak/>
              <w:t xml:space="preserve">Collection Allocation per buyer </w:t>
            </w:r>
            <w:r w:rsidRPr="00097ABB">
              <w:rPr>
                <w:rFonts w:ascii="Arial" w:hAnsi="Arial" w:cs="Arial"/>
                <w:sz w:val="22"/>
                <w:szCs w:val="22"/>
                <w:bdr w:val="none" w:sz="0" w:space="0" w:color="auto" w:frame="1"/>
                <w:lang w:val="en-US"/>
              </w:rPr>
              <w:t xml:space="preserve">is the buyer’s share in the GEA Shortfall Amount in </w:t>
            </w:r>
            <w:proofErr w:type="spellStart"/>
            <w:r w:rsidRPr="00097ABB">
              <w:rPr>
                <w:rFonts w:ascii="Arial" w:hAnsi="Arial" w:cs="Arial"/>
                <w:sz w:val="22"/>
                <w:szCs w:val="22"/>
                <w:bdr w:val="none" w:sz="0" w:space="0" w:color="auto" w:frame="1"/>
                <w:lang w:val="en-US"/>
              </w:rPr>
              <w:t>PhP</w:t>
            </w:r>
            <w:proofErr w:type="spellEnd"/>
            <w:r w:rsidRPr="00097ABB">
              <w:rPr>
                <w:rFonts w:ascii="Arial" w:hAnsi="Arial" w:cs="Arial"/>
                <w:sz w:val="22"/>
                <w:szCs w:val="22"/>
                <w:bdr w:val="none" w:sz="0" w:space="0" w:color="auto" w:frame="1"/>
                <w:lang w:val="en-US"/>
              </w:rPr>
              <w:t xml:space="preserve"> at settlement interval h in the Reserve   Market.</w:t>
            </w:r>
          </w:p>
          <w:p w14:paraId="004218C3" w14:textId="77777777" w:rsidR="0017533E" w:rsidRPr="00097ABB" w:rsidRDefault="0017533E" w:rsidP="0017533E">
            <w:pPr>
              <w:pStyle w:val="NormalWeb"/>
              <w:shd w:val="clear" w:color="auto" w:fill="FFFFFF"/>
              <w:ind w:left="1440" w:right="521"/>
              <w:jc w:val="both"/>
              <w:rPr>
                <w:rFonts w:ascii="Arial" w:hAnsi="Arial" w:cs="Arial"/>
                <w:sz w:val="22"/>
                <w:szCs w:val="22"/>
                <w:lang w:val="en-US"/>
              </w:rPr>
            </w:pPr>
            <w:r w:rsidRPr="00097ABB">
              <w:rPr>
                <w:rFonts w:ascii="Arial" w:hAnsi="Arial" w:cs="Arial"/>
                <w:b/>
                <w:bCs/>
                <w:sz w:val="22"/>
                <w:szCs w:val="22"/>
                <w:lang w:val="en-US"/>
              </w:rPr>
              <w:t>GEA Shortfall Amount (GEASA)</w:t>
            </w:r>
            <w:r w:rsidRPr="00097ABB">
              <w:rPr>
                <w:rFonts w:ascii="Arial" w:hAnsi="Arial" w:cs="Arial"/>
                <w:sz w:val="22"/>
                <w:szCs w:val="22"/>
                <w:lang w:val="en-US"/>
              </w:rPr>
              <w:t xml:space="preserve"> is the difference between TTA-PSH and GEAA per trading interval </w:t>
            </w:r>
            <w:proofErr w:type="spellStart"/>
            <w:r w:rsidRPr="00097ABB">
              <w:rPr>
                <w:rFonts w:ascii="Arial" w:hAnsi="Arial" w:cs="Arial"/>
                <w:sz w:val="22"/>
                <w:szCs w:val="22"/>
                <w:lang w:val="en-US"/>
              </w:rPr>
              <w:t>i</w:t>
            </w:r>
            <w:proofErr w:type="spellEnd"/>
            <w:r w:rsidRPr="00097ABB">
              <w:rPr>
                <w:rFonts w:ascii="Arial" w:hAnsi="Arial" w:cs="Arial"/>
                <w:sz w:val="22"/>
                <w:szCs w:val="22"/>
                <w:lang w:val="en-US"/>
              </w:rPr>
              <w:t xml:space="preserve"> where TTA-PSH is lower than GEAA in </w:t>
            </w:r>
            <w:proofErr w:type="spellStart"/>
            <w:r w:rsidRPr="00097ABB">
              <w:rPr>
                <w:rFonts w:ascii="Arial" w:hAnsi="Arial" w:cs="Arial"/>
                <w:sz w:val="22"/>
                <w:szCs w:val="22"/>
                <w:lang w:val="en-US"/>
              </w:rPr>
              <w:t>PhP</w:t>
            </w:r>
            <w:proofErr w:type="spellEnd"/>
            <w:r w:rsidRPr="00097ABB">
              <w:rPr>
                <w:rFonts w:ascii="Arial" w:hAnsi="Arial" w:cs="Arial"/>
                <w:sz w:val="22"/>
                <w:szCs w:val="22"/>
                <w:lang w:val="en-US"/>
              </w:rPr>
              <w:t>.</w:t>
            </w:r>
          </w:p>
          <w:p w14:paraId="1AEC2624" w14:textId="77777777" w:rsidR="0017533E" w:rsidRPr="00097ABB" w:rsidRDefault="0017533E" w:rsidP="0017533E">
            <w:pPr>
              <w:pStyle w:val="NormalWeb"/>
              <w:shd w:val="clear" w:color="auto" w:fill="FFFFFF"/>
              <w:ind w:left="2160" w:right="521" w:firstLine="720"/>
              <w:jc w:val="both"/>
              <w:rPr>
                <w:rFonts w:ascii="Arial" w:hAnsi="Arial" w:cs="Arial"/>
                <w:sz w:val="20"/>
                <w:szCs w:val="20"/>
                <w:lang w:val="en-US"/>
              </w:rPr>
            </w:pPr>
            <m:oMathPara>
              <m:oMath>
                <m:r>
                  <m:rPr>
                    <m:sty m:val="bi"/>
                  </m:rPr>
                  <w:rPr>
                    <w:rFonts w:ascii="Cambria Math" w:hAnsi="Cambria Math" w:cs="Arial"/>
                    <w:sz w:val="20"/>
                    <w:szCs w:val="20"/>
                    <w:lang w:val="en-US"/>
                  </w:rPr>
                  <m:t>GEASA</m:t>
                </m:r>
                <m:r>
                  <w:rPr>
                    <w:rFonts w:ascii="Cambria Math" w:hAnsi="Cambria Math" w:cs="Arial"/>
                    <w:sz w:val="20"/>
                    <w:szCs w:val="20"/>
                    <w:lang w:val="en-US"/>
                  </w:rPr>
                  <m:t xml:space="preserve">=(TTA-PSH- GEAA)× </m:t>
                </m:r>
                <m:f>
                  <m:fPr>
                    <m:ctrlPr>
                      <w:rPr>
                        <w:rFonts w:ascii="Cambria Math" w:hAnsi="Cambria Math" w:cs="Arial"/>
                        <w:i/>
                        <w:sz w:val="20"/>
                        <w:szCs w:val="20"/>
                        <w:lang w:val="en-US"/>
                      </w:rPr>
                    </m:ctrlPr>
                  </m:fPr>
                  <m:num>
                    <m:r>
                      <w:rPr>
                        <w:rFonts w:ascii="Cambria Math" w:hAnsi="Cambria Math" w:cs="Arial"/>
                        <w:sz w:val="20"/>
                        <w:szCs w:val="20"/>
                        <w:lang w:val="en-US"/>
                      </w:rPr>
                      <m:t>GSCRM</m:t>
                    </m:r>
                  </m:num>
                  <m:den>
                    <m:r>
                      <w:rPr>
                        <w:rFonts w:ascii="Cambria Math" w:hAnsi="Cambria Math" w:cs="Arial"/>
                        <w:sz w:val="20"/>
                        <w:szCs w:val="20"/>
                        <w:lang w:val="en-US"/>
                      </w:rPr>
                      <m:t>TAC</m:t>
                    </m:r>
                  </m:den>
                </m:f>
              </m:oMath>
            </m:oMathPara>
          </w:p>
          <w:p w14:paraId="78A9BA89" w14:textId="77777777" w:rsidR="0017533E" w:rsidRPr="00097ABB" w:rsidRDefault="0017533E" w:rsidP="0017533E">
            <w:pPr>
              <w:pStyle w:val="NormalWeb"/>
              <w:shd w:val="clear" w:color="auto" w:fill="FFFFFF"/>
              <w:ind w:right="521"/>
              <w:jc w:val="both"/>
              <w:rPr>
                <w:rFonts w:ascii="Arial" w:hAnsi="Arial" w:cs="Arial"/>
                <w:sz w:val="22"/>
                <w:szCs w:val="22"/>
              </w:rPr>
            </w:pPr>
            <w:r w:rsidRPr="00097ABB">
              <w:rPr>
                <w:rFonts w:ascii="Arial" w:hAnsi="Arial" w:cs="Arial"/>
                <w:sz w:val="22"/>
                <w:szCs w:val="22"/>
              </w:rPr>
              <w:tab/>
            </w:r>
            <w:r w:rsidRPr="00097ABB">
              <w:rPr>
                <w:rFonts w:ascii="Arial" w:hAnsi="Arial" w:cs="Arial"/>
                <w:sz w:val="22"/>
                <w:szCs w:val="22"/>
              </w:rPr>
              <w:tab/>
            </w:r>
            <w:r w:rsidRPr="00097ABB">
              <w:rPr>
                <w:rFonts w:ascii="Arial" w:hAnsi="Arial" w:cs="Arial"/>
                <w:sz w:val="22"/>
                <w:szCs w:val="22"/>
              </w:rPr>
              <w:tab/>
              <w:t>Where:</w:t>
            </w:r>
          </w:p>
          <w:p w14:paraId="432FE97F" w14:textId="77777777" w:rsidR="0017533E" w:rsidRPr="00097ABB" w:rsidRDefault="0017533E" w:rsidP="0017533E">
            <w:pPr>
              <w:pStyle w:val="NormalWeb"/>
              <w:shd w:val="clear" w:color="auto" w:fill="FFFFFF"/>
              <w:ind w:left="2160"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t xml:space="preserve">GSCRM </w:t>
            </w:r>
            <w:r w:rsidRPr="00097ABB">
              <w:rPr>
                <w:rFonts w:ascii="Arial" w:hAnsi="Arial" w:cs="Arial"/>
                <w:sz w:val="22"/>
                <w:szCs w:val="22"/>
                <w:bdr w:val="none" w:sz="0" w:space="0" w:color="auto" w:frame="1"/>
                <w:lang w:val="en-US"/>
              </w:rPr>
              <w:t>is the Gross Scheduled Capacity in the Reserve Market without Energy Dispatched in the Energy Market.</w:t>
            </w:r>
          </w:p>
          <w:p w14:paraId="2690E4D9" w14:textId="77777777" w:rsidR="0017533E" w:rsidRPr="00097ABB" w:rsidRDefault="0017533E" w:rsidP="0017533E">
            <w:pPr>
              <w:pStyle w:val="NormalWeb"/>
              <w:shd w:val="clear" w:color="auto" w:fill="FFFFFF"/>
              <w:ind w:left="2160"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t xml:space="preserve">TAC </w:t>
            </w:r>
            <w:r w:rsidRPr="00097ABB">
              <w:rPr>
                <w:rFonts w:ascii="Arial" w:hAnsi="Arial" w:cs="Arial"/>
                <w:sz w:val="22"/>
                <w:szCs w:val="22"/>
                <w:bdr w:val="none" w:sz="0" w:space="0" w:color="auto" w:frame="1"/>
                <w:lang w:val="en-US"/>
              </w:rPr>
              <w:t xml:space="preserve">is the Total Available Capacity of the PSH Facility that may be </w:t>
            </w:r>
            <w:r w:rsidRPr="00097ABB">
              <w:rPr>
                <w:rFonts w:ascii="Arial" w:hAnsi="Arial" w:cs="Arial"/>
                <w:sz w:val="22"/>
                <w:szCs w:val="22"/>
                <w:bdr w:val="none" w:sz="0" w:space="0" w:color="auto" w:frame="1"/>
              </w:rPr>
              <w:t>committed, scheduled and/or dispatched in the WESM.</w:t>
            </w:r>
          </w:p>
          <w:p w14:paraId="122B67FB" w14:textId="77777777" w:rsidR="0017533E" w:rsidRPr="00097ABB" w:rsidRDefault="0017533E" w:rsidP="0017533E">
            <w:pPr>
              <w:pStyle w:val="NormalWeb"/>
              <w:shd w:val="clear" w:color="auto" w:fill="FFFFFF"/>
              <w:spacing w:before="0" w:beforeAutospacing="0" w:after="0" w:afterAutospacing="0"/>
              <w:ind w:left="1418" w:right="521"/>
              <w:jc w:val="both"/>
              <w:rPr>
                <w:rFonts w:ascii="Arial" w:hAnsi="Arial" w:cs="Arial"/>
                <w:sz w:val="22"/>
                <w:szCs w:val="22"/>
                <w:lang w:val="en-US"/>
              </w:rPr>
            </w:pPr>
            <w:r w:rsidRPr="00097ABB">
              <w:rPr>
                <w:rFonts w:ascii="Arial" w:hAnsi="Arial" w:cs="Arial"/>
                <w:b/>
                <w:bCs/>
                <w:sz w:val="22"/>
                <w:szCs w:val="22"/>
                <w:bdr w:val="none" w:sz="0" w:space="0" w:color="auto" w:frame="1"/>
                <w:lang w:val="en-US"/>
              </w:rPr>
              <w:t xml:space="preserve">GRSQ </w:t>
            </w:r>
            <w:r w:rsidRPr="00097ABB">
              <w:rPr>
                <w:rFonts w:ascii="Arial" w:hAnsi="Arial" w:cs="Arial"/>
                <w:sz w:val="22"/>
                <w:szCs w:val="22"/>
                <w:bdr w:val="none" w:sz="0" w:space="0" w:color="auto" w:frame="1"/>
                <w:lang w:val="en-US"/>
              </w:rPr>
              <w:t>is the gross reserve settlement quantity of capacity sold or purchased as determined in WESM Rules in MW/h.</w:t>
            </w:r>
          </w:p>
          <w:p w14:paraId="2640B4D8" w14:textId="77777777" w:rsidR="0017533E" w:rsidRPr="00097ABB" w:rsidRDefault="0017533E" w:rsidP="0017533E">
            <w:pPr>
              <w:pStyle w:val="NormalWeb"/>
              <w:shd w:val="clear" w:color="auto" w:fill="FFFFFF"/>
              <w:spacing w:before="0" w:beforeAutospacing="0" w:after="0" w:afterAutospacing="0"/>
              <w:ind w:left="1418" w:right="521"/>
              <w:jc w:val="both"/>
              <w:rPr>
                <w:rFonts w:ascii="Arial" w:hAnsi="Arial" w:cs="Arial"/>
                <w:b/>
                <w:bCs/>
                <w:sz w:val="22"/>
                <w:szCs w:val="22"/>
                <w:bdr w:val="none" w:sz="0" w:space="0" w:color="auto" w:frame="1"/>
                <w:lang w:val="en-US"/>
              </w:rPr>
            </w:pPr>
          </w:p>
          <w:p w14:paraId="1B667FD6" w14:textId="77777777" w:rsidR="0017533E" w:rsidRPr="00097ABB" w:rsidRDefault="0017533E" w:rsidP="0017533E">
            <w:pPr>
              <w:pStyle w:val="NormalWeb"/>
              <w:shd w:val="clear" w:color="auto" w:fill="FFFFFF"/>
              <w:spacing w:before="0" w:beforeAutospacing="0" w:after="0" w:afterAutospacing="0"/>
              <w:ind w:left="1418" w:right="521"/>
              <w:jc w:val="both"/>
              <w:rPr>
                <w:rFonts w:ascii="Arial" w:hAnsi="Arial" w:cs="Arial"/>
                <w:sz w:val="22"/>
                <w:szCs w:val="22"/>
                <w:lang w:val="en-US"/>
              </w:rPr>
            </w:pPr>
            <w:proofErr w:type="spellStart"/>
            <w:r w:rsidRPr="00097ABB">
              <w:rPr>
                <w:rFonts w:ascii="Arial" w:hAnsi="Arial" w:cs="Arial"/>
                <w:b/>
                <w:bCs/>
                <w:sz w:val="22"/>
                <w:szCs w:val="22"/>
                <w:bdr w:val="none" w:sz="0" w:space="0" w:color="auto" w:frame="1"/>
                <w:lang w:val="en-US"/>
              </w:rPr>
              <w:t>GRSQ</w:t>
            </w:r>
            <w:r w:rsidRPr="00097ABB">
              <w:rPr>
                <w:rFonts w:ascii="Arial" w:hAnsi="Arial" w:cs="Arial"/>
                <w:b/>
                <w:bCs/>
                <w:sz w:val="22"/>
                <w:szCs w:val="22"/>
                <w:bdr w:val="none" w:sz="0" w:space="0" w:color="auto" w:frame="1"/>
                <w:vertAlign w:val="subscript"/>
                <w:lang w:val="en-US"/>
              </w:rPr>
              <w:t>c</w:t>
            </w:r>
            <w:proofErr w:type="spellEnd"/>
            <w:r w:rsidRPr="00097ABB">
              <w:rPr>
                <w:rFonts w:ascii="Arial" w:hAnsi="Arial" w:cs="Arial"/>
                <w:b/>
                <w:bCs/>
                <w:sz w:val="22"/>
                <w:szCs w:val="22"/>
                <w:bdr w:val="none" w:sz="0" w:space="0" w:color="auto" w:frame="1"/>
                <w:lang w:val="en-US"/>
              </w:rPr>
              <w:t xml:space="preserve"> </w:t>
            </w:r>
            <w:r w:rsidRPr="00097ABB">
              <w:rPr>
                <w:rFonts w:ascii="Arial" w:hAnsi="Arial" w:cs="Arial"/>
                <w:sz w:val="22"/>
                <w:szCs w:val="22"/>
                <w:bdr w:val="none" w:sz="0" w:space="0" w:color="auto" w:frame="1"/>
                <w:lang w:val="en-US"/>
              </w:rPr>
              <w:t>is the GRSQ for customer c (buyer in the WESM) for the billing month in MW/h.</w:t>
            </w:r>
          </w:p>
          <w:p w14:paraId="46430584" w14:textId="77777777" w:rsidR="0017533E" w:rsidRPr="00097ABB" w:rsidRDefault="0017533E" w:rsidP="0017533E">
            <w:pPr>
              <w:pStyle w:val="NormalWeb"/>
              <w:shd w:val="clear" w:color="auto" w:fill="FFFFFF"/>
              <w:spacing w:before="0" w:beforeAutospacing="0" w:after="0" w:afterAutospacing="0"/>
              <w:ind w:left="1418" w:right="521"/>
              <w:jc w:val="both"/>
              <w:rPr>
                <w:rFonts w:ascii="Arial" w:hAnsi="Arial" w:cs="Arial"/>
                <w:b/>
                <w:bCs/>
                <w:sz w:val="22"/>
                <w:szCs w:val="22"/>
                <w:bdr w:val="none" w:sz="0" w:space="0" w:color="auto" w:frame="1"/>
                <w:lang w:val="en-US"/>
              </w:rPr>
            </w:pPr>
          </w:p>
          <w:p w14:paraId="14376B74" w14:textId="77777777" w:rsidR="0017533E" w:rsidRPr="00097ABB" w:rsidRDefault="0017533E" w:rsidP="0017533E">
            <w:pPr>
              <w:pStyle w:val="NormalWeb"/>
              <w:shd w:val="clear" w:color="auto" w:fill="FFFFFF"/>
              <w:spacing w:before="0" w:beforeAutospacing="0" w:after="0" w:afterAutospacing="0"/>
              <w:ind w:left="1418" w:right="521"/>
              <w:jc w:val="both"/>
              <w:rPr>
                <w:rFonts w:ascii="Arial" w:hAnsi="Arial" w:cs="Arial"/>
                <w:sz w:val="22"/>
                <w:szCs w:val="22"/>
                <w:lang w:val="en-US"/>
              </w:rPr>
            </w:pPr>
            <w:proofErr w:type="spellStart"/>
            <w:r w:rsidRPr="00097ABB">
              <w:rPr>
                <w:rFonts w:ascii="Arial" w:hAnsi="Arial" w:cs="Arial"/>
                <w:b/>
                <w:bCs/>
                <w:sz w:val="22"/>
                <w:szCs w:val="22"/>
                <w:bdr w:val="none" w:sz="0" w:space="0" w:color="auto" w:frame="1"/>
                <w:lang w:val="en-US"/>
              </w:rPr>
              <w:t>GRSQ</w:t>
            </w:r>
            <w:r w:rsidRPr="00097ABB">
              <w:rPr>
                <w:rFonts w:ascii="Arial" w:hAnsi="Arial" w:cs="Arial"/>
                <w:b/>
                <w:bCs/>
                <w:sz w:val="22"/>
                <w:szCs w:val="22"/>
                <w:bdr w:val="none" w:sz="0" w:space="0" w:color="auto" w:frame="1"/>
                <w:vertAlign w:val="subscript"/>
                <w:lang w:val="en-US"/>
              </w:rPr>
              <w:t>ctotal</w:t>
            </w:r>
            <w:proofErr w:type="spellEnd"/>
            <w:r w:rsidRPr="00097ABB">
              <w:rPr>
                <w:rFonts w:ascii="Arial" w:hAnsi="Arial" w:cs="Arial"/>
                <w:b/>
                <w:bCs/>
                <w:sz w:val="22"/>
                <w:szCs w:val="22"/>
                <w:bdr w:val="none" w:sz="0" w:space="0" w:color="auto" w:frame="1"/>
                <w:lang w:val="en-US"/>
              </w:rPr>
              <w:t xml:space="preserve"> </w:t>
            </w:r>
            <w:r w:rsidRPr="00097ABB">
              <w:rPr>
                <w:rFonts w:ascii="Arial" w:hAnsi="Arial" w:cs="Arial"/>
                <w:sz w:val="22"/>
                <w:szCs w:val="22"/>
                <w:bdr w:val="none" w:sz="0" w:space="0" w:color="auto" w:frame="1"/>
                <w:lang w:val="en-US"/>
              </w:rPr>
              <w:t>is the total customer GRSQ (buyers in the WESM) for the billing month in MW/h.</w:t>
            </w:r>
          </w:p>
          <w:p w14:paraId="2D21F418" w14:textId="77777777" w:rsidR="0017533E" w:rsidRPr="00097ABB" w:rsidRDefault="0017533E" w:rsidP="0017533E">
            <w:pPr>
              <w:ind w:right="521"/>
              <w:jc w:val="both"/>
              <w:rPr>
                <w:rFonts w:ascii="Arial" w:hAnsi="Arial" w:cs="Arial"/>
              </w:rPr>
            </w:pPr>
          </w:p>
          <w:p w14:paraId="0A9E03FB" w14:textId="77777777" w:rsidR="0017533E" w:rsidRPr="00097ABB" w:rsidRDefault="0017533E" w:rsidP="0017533E">
            <w:pPr>
              <w:shd w:val="clear" w:color="auto" w:fill="FFFFFF" w:themeFill="background1"/>
              <w:ind w:left="720" w:right="521"/>
              <w:jc w:val="both"/>
              <w:textAlignment w:val="baseline"/>
              <w:rPr>
                <w:rFonts w:ascii="Arial" w:eastAsia="Times New Roman" w:hAnsi="Arial" w:cs="Arial"/>
                <w:bdr w:val="none" w:sz="0" w:space="0" w:color="auto" w:frame="1"/>
                <w:lang w:eastAsia="en-PH"/>
              </w:rPr>
            </w:pPr>
            <w:r w:rsidRPr="00097ABB">
              <w:rPr>
                <w:rFonts w:ascii="Arial" w:hAnsi="Arial" w:cs="Arial"/>
                <w:b/>
                <w:bCs/>
              </w:rPr>
              <w:t>Section 8.3.</w:t>
            </w:r>
            <w:r w:rsidRPr="00097ABB">
              <w:rPr>
                <w:rFonts w:ascii="Arial" w:eastAsia="Times New Roman" w:hAnsi="Arial" w:cs="Arial"/>
                <w:b/>
                <w:bCs/>
                <w:lang w:eastAsia="en-PH"/>
              </w:rPr>
              <w:t xml:space="preserve"> </w:t>
            </w:r>
            <w:r w:rsidRPr="00097ABB">
              <w:rPr>
                <w:rFonts w:ascii="Arial" w:eastAsia="Times New Roman" w:hAnsi="Arial" w:cs="Arial"/>
                <w:lang w:eastAsia="en-PH"/>
              </w:rPr>
              <w:t xml:space="preserve">In </w:t>
            </w:r>
            <w:r w:rsidRPr="00097ABB">
              <w:rPr>
                <w:rFonts w:ascii="Arial" w:hAnsi="Arial" w:cs="Arial"/>
              </w:rPr>
              <w:t xml:space="preserve">case the Total Trading Amount in the WESM </w:t>
            </w:r>
            <w:r w:rsidRPr="00097ABB">
              <w:rPr>
                <w:rFonts w:ascii="Arial" w:eastAsia="Times New Roman" w:hAnsi="Arial" w:cs="Arial"/>
                <w:lang w:eastAsia="en-PH"/>
              </w:rPr>
              <w:t>of a PSH Facility</w:t>
            </w:r>
            <w:r w:rsidRPr="00097ABB">
              <w:rPr>
                <w:rFonts w:ascii="Arial" w:hAnsi="Arial" w:cs="Arial"/>
              </w:rPr>
              <w:t xml:space="preserve"> of a GEA Winning Bidder is higher than the computed Total GEA Amount for a relevant billing month</w:t>
            </w:r>
            <w:r w:rsidRPr="00097ABB">
              <w:rPr>
                <w:rFonts w:ascii="Arial" w:eastAsia="Times New Roman" w:hAnsi="Arial" w:cs="Arial"/>
                <w:lang w:eastAsia="en-PH"/>
              </w:rPr>
              <w:t xml:space="preserve">, </w:t>
            </w:r>
            <w:r w:rsidRPr="00097ABB">
              <w:rPr>
                <w:rFonts w:ascii="Arial" w:hAnsi="Arial" w:cs="Arial"/>
              </w:rPr>
              <w:t xml:space="preserve">the Market Operator shall reflect in the settlement statement of the customers the </w:t>
            </w:r>
            <w:r w:rsidRPr="00097ABB">
              <w:rPr>
                <w:rFonts w:ascii="Arial" w:hAnsi="Arial" w:cs="Arial"/>
              </w:rPr>
              <w:lastRenderedPageBreak/>
              <w:t xml:space="preserve">difference in amount and collect only the Total GEA Amount and flowback to the buyers their </w:t>
            </w:r>
            <w:r w:rsidRPr="00097ABB">
              <w:rPr>
                <w:rFonts w:ascii="Arial" w:eastAsia="Times New Roman" w:hAnsi="Arial" w:cs="Arial"/>
                <w:lang w:eastAsia="en-PH"/>
              </w:rPr>
              <w:t xml:space="preserve">corresponding share on the GEA Flowback Amount based on the available capacity committed, scheduled, dispatched, as the case may be, in the Energy Market and/or Reserve Market, </w:t>
            </w:r>
            <w:r w:rsidRPr="00097ABB">
              <w:rPr>
                <w:rFonts w:ascii="Arial" w:hAnsi="Arial" w:cs="Arial"/>
              </w:rPr>
              <w:t>using the following formula:</w:t>
            </w:r>
          </w:p>
          <w:p w14:paraId="2E164145" w14:textId="77777777" w:rsidR="0017533E" w:rsidRPr="00097ABB" w:rsidRDefault="0017533E" w:rsidP="0017533E">
            <w:pPr>
              <w:pStyle w:val="NormalWeb"/>
              <w:shd w:val="clear" w:color="auto" w:fill="FFFFFF"/>
              <w:ind w:left="720" w:right="521" w:firstLine="720"/>
              <w:jc w:val="both"/>
              <w:rPr>
                <w:rFonts w:ascii="Arial" w:hAnsi="Arial" w:cs="Arial"/>
                <w:b/>
                <w:bCs/>
                <w:sz w:val="22"/>
                <w:szCs w:val="22"/>
                <w:bdr w:val="none" w:sz="0" w:space="0" w:color="auto" w:frame="1"/>
                <w:lang w:val="en-US"/>
              </w:rPr>
            </w:pPr>
            <w:r w:rsidRPr="00097ABB">
              <w:rPr>
                <w:rFonts w:ascii="Arial" w:hAnsi="Arial" w:cs="Arial"/>
                <w:b/>
                <w:bCs/>
                <w:sz w:val="22"/>
                <w:szCs w:val="22"/>
                <w:bdr w:val="none" w:sz="0" w:space="0" w:color="auto" w:frame="1"/>
                <w:shd w:val="clear" w:color="auto" w:fill="FFFFFF"/>
                <w:lang w:val="en-US"/>
              </w:rPr>
              <w:t xml:space="preserve">TTA-PSH </w:t>
            </w:r>
            <w:r w:rsidRPr="00097ABB">
              <w:rPr>
                <w:rFonts w:ascii="Arial" w:hAnsi="Arial" w:cs="Arial"/>
                <w:b/>
                <w:bCs/>
                <w:sz w:val="22"/>
                <w:szCs w:val="22"/>
                <w:bdr w:val="none" w:sz="0" w:space="0" w:color="auto" w:frame="1"/>
                <w:lang w:val="en-US"/>
              </w:rPr>
              <w:t>&gt; Total GEA Amount</w:t>
            </w:r>
          </w:p>
          <w:p w14:paraId="7C0A7ECD" w14:textId="13092A9D" w:rsidR="0017533E" w:rsidRPr="00097ABB" w:rsidRDefault="0017533E" w:rsidP="00097ABB">
            <w:pPr>
              <w:pStyle w:val="NormalWeb"/>
              <w:shd w:val="clear" w:color="auto" w:fill="FFFFFF"/>
              <w:ind w:left="744" w:right="521"/>
              <w:jc w:val="both"/>
              <w:rPr>
                <w:rFonts w:ascii="Arial" w:hAnsi="Arial" w:cs="Arial"/>
                <w:b/>
                <w:bCs/>
                <w:sz w:val="22"/>
                <w:szCs w:val="22"/>
                <w:lang w:val="en-US"/>
              </w:rPr>
            </w:pPr>
            <w:r w:rsidRPr="00097ABB">
              <w:rPr>
                <w:rFonts w:ascii="Arial" w:hAnsi="Arial" w:cs="Arial"/>
                <w:b/>
                <w:bCs/>
                <w:sz w:val="22"/>
                <w:szCs w:val="22"/>
                <w:bdr w:val="none" w:sz="0" w:space="0" w:color="auto" w:frame="1"/>
                <w:lang w:val="en-US"/>
              </w:rPr>
              <w:tab/>
            </w:r>
            <w:r w:rsidRPr="00097ABB">
              <w:rPr>
                <w:rFonts w:ascii="Arial" w:hAnsi="Arial" w:cs="Arial"/>
                <w:b/>
                <w:bCs/>
                <w:sz w:val="22"/>
                <w:szCs w:val="22"/>
                <w:lang w:val="en-US"/>
              </w:rPr>
              <w:t>Energy Market</w:t>
            </w:r>
          </w:p>
          <w:p w14:paraId="1B14962F" w14:textId="77777777" w:rsidR="0017533E" w:rsidRPr="00097ABB" w:rsidRDefault="0017533E" w:rsidP="0017533E">
            <w:pPr>
              <w:pStyle w:val="NormalWeb"/>
              <w:shd w:val="clear" w:color="auto" w:fill="FFFFFF" w:themeFill="background1"/>
              <w:ind w:left="1440" w:right="521" w:firstLine="720"/>
              <w:jc w:val="both"/>
              <w:rPr>
                <w:rFonts w:ascii="Arial" w:hAnsi="Arial" w:cs="Arial"/>
                <w:sz w:val="22"/>
                <w:szCs w:val="22"/>
              </w:rPr>
            </w:pPr>
            <m:oMathPara>
              <m:oMathParaPr>
                <m:jc m:val="center"/>
              </m:oMathParaPr>
              <m:oMath>
                <m:r>
                  <m:rPr>
                    <m:sty m:val="bi"/>
                  </m:rPr>
                  <w:rPr>
                    <w:rFonts w:ascii="Cambria Math" w:hAnsi="Cambria Math" w:cs="Arial"/>
                    <w:sz w:val="16"/>
                    <w:szCs w:val="16"/>
                    <w:bdr w:val="none" w:sz="0" w:space="0" w:color="auto" w:frame="1"/>
                    <w:lang w:val="en-US"/>
                  </w:rPr>
                  <m:t>Flowback Allocation per buyer</m:t>
                </m:r>
                <m:r>
                  <w:rPr>
                    <w:rFonts w:ascii="Cambria Math" w:hAnsi="Cambria Math" w:cs="Arial"/>
                    <w:sz w:val="16"/>
                    <w:szCs w:val="16"/>
                    <w:bdr w:val="none" w:sz="0" w:space="0" w:color="auto" w:frame="1"/>
                    <w:lang w:val="en-US"/>
                  </w:rPr>
                  <m:t>=</m:t>
                </m:r>
                <m:nary>
                  <m:naryPr>
                    <m:chr m:val="∑"/>
                    <m:limLoc m:val="undOvr"/>
                    <m:supHide m:val="1"/>
                    <m:ctrlPr>
                      <w:rPr>
                        <w:rFonts w:ascii="Cambria Math" w:hAnsi="Cambria Math" w:cs="Arial"/>
                        <w:i/>
                        <w:sz w:val="16"/>
                        <w:szCs w:val="16"/>
                        <w:bdr w:val="none" w:sz="0" w:space="0" w:color="auto" w:frame="1"/>
                        <w:lang w:val="en-US"/>
                      </w:rPr>
                    </m:ctrlPr>
                  </m:naryPr>
                  <m:sub>
                    <m:r>
                      <w:rPr>
                        <w:rFonts w:ascii="Cambria Math" w:hAnsi="Cambria Math" w:cs="Arial"/>
                        <w:sz w:val="16"/>
                        <w:szCs w:val="16"/>
                        <w:bdr w:val="none" w:sz="0" w:space="0" w:color="auto" w:frame="1"/>
                        <w:lang w:val="en-US"/>
                      </w:rPr>
                      <m:t>i∈h</m:t>
                    </m:r>
                  </m:sub>
                  <m:sup/>
                  <m:e>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(GEAFA</m:t>
                        </m:r>
                      </m:e>
                      <m:sub>
                        <m:r>
                          <w:rPr>
                            <w:rFonts w:ascii="Cambria Math" w:hAnsi="Cambria Math" w:cs="Arial"/>
                            <w:sz w:val="16"/>
                            <w:szCs w:val="16"/>
                            <w:bdr w:val="none" w:sz="0" w:space="0" w:color="auto" w:frame="1"/>
                            <w:lang w:val="en-US"/>
                          </w:rPr>
                          <m:t>i</m:t>
                        </m:r>
                      </m:sub>
                    </m:sSub>
                    <m:r>
                      <w:rPr>
                        <w:rFonts w:ascii="Cambria Math" w:hAnsi="Cambria Math" w:cs="Arial"/>
                        <w:sz w:val="16"/>
                        <w:szCs w:val="16"/>
                        <w:bdr w:val="none" w:sz="0" w:space="0" w:color="auto" w:frame="1"/>
                        <w:lang w:val="en-US"/>
                      </w:rPr>
                      <m:t>)</m:t>
                    </m:r>
                  </m:e>
                </m:nary>
                <m:r>
                  <w:rPr>
                    <w:rFonts w:ascii="Cambria Math" w:hAnsi="Cambria Math" w:cs="Arial"/>
                    <w:sz w:val="16"/>
                    <w:szCs w:val="16"/>
                    <w:bdr w:val="none" w:sz="0" w:space="0" w:color="auto" w:frame="1"/>
                    <w:lang w:val="en-US"/>
                  </w:rPr>
                  <m:t xml:space="preserve">  × </m:t>
                </m:r>
                <m:f>
                  <m:fPr>
                    <m:ctrlPr>
                      <w:rPr>
                        <w:rFonts w:ascii="Cambria Math" w:hAnsi="Cambria Math" w:cs="Arial"/>
                        <w:i/>
                        <w:sz w:val="16"/>
                        <w:szCs w:val="16"/>
                        <w:bdr w:val="none" w:sz="0" w:space="0" w:color="auto" w:frame="1"/>
                        <w:lang w:val="en-US"/>
                      </w:rPr>
                    </m:ctrlPr>
                  </m:fPr>
                  <m:num>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GESQ</m:t>
                        </m:r>
                      </m:e>
                      <m:sub>
                        <m:r>
                          <w:rPr>
                            <w:rFonts w:ascii="Cambria Math" w:hAnsi="Cambria Math" w:cs="Arial"/>
                            <w:sz w:val="16"/>
                            <w:szCs w:val="16"/>
                            <w:bdr w:val="none" w:sz="0" w:space="0" w:color="auto" w:frame="1"/>
                            <w:lang w:val="en-US"/>
                          </w:rPr>
                          <m:t>C</m:t>
                        </m:r>
                      </m:sub>
                    </m:sSub>
                  </m:num>
                  <m:den>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GESQ</m:t>
                        </m:r>
                      </m:e>
                      <m:sub>
                        <m:r>
                          <w:rPr>
                            <w:rFonts w:ascii="Cambria Math" w:hAnsi="Cambria Math" w:cs="Arial"/>
                            <w:sz w:val="16"/>
                            <w:szCs w:val="16"/>
                            <w:bdr w:val="none" w:sz="0" w:space="0" w:color="auto" w:frame="1"/>
                            <w:lang w:val="en-US"/>
                          </w:rPr>
                          <m:t>ctotal</m:t>
                        </m:r>
                      </m:sub>
                    </m:sSub>
                  </m:den>
                </m:f>
              </m:oMath>
            </m:oMathPara>
          </w:p>
          <w:p w14:paraId="43E4AB4B" w14:textId="77777777" w:rsidR="0017533E" w:rsidRPr="00097ABB" w:rsidRDefault="0017533E" w:rsidP="0017533E">
            <w:pPr>
              <w:pStyle w:val="NormalWeb"/>
              <w:shd w:val="clear" w:color="auto" w:fill="FFFFFF"/>
              <w:ind w:left="1440" w:right="521"/>
              <w:jc w:val="both"/>
              <w:rPr>
                <w:rFonts w:ascii="Arial" w:hAnsi="Arial" w:cs="Arial"/>
                <w:sz w:val="22"/>
                <w:szCs w:val="22"/>
                <w:bdr w:val="none" w:sz="0" w:space="0" w:color="auto" w:frame="1"/>
                <w:lang w:val="en-US"/>
              </w:rPr>
            </w:pPr>
            <w:r w:rsidRPr="00097ABB">
              <w:rPr>
                <w:rFonts w:ascii="Arial" w:hAnsi="Arial" w:cs="Arial"/>
                <w:sz w:val="22"/>
                <w:szCs w:val="22"/>
                <w:bdr w:val="none" w:sz="0" w:space="0" w:color="auto" w:frame="1"/>
                <w:lang w:val="en-US"/>
              </w:rPr>
              <w:t>Where: </w:t>
            </w:r>
          </w:p>
          <w:p w14:paraId="3CC17321" w14:textId="77777777" w:rsidR="0017533E" w:rsidRPr="00097ABB" w:rsidRDefault="0017533E" w:rsidP="0017533E">
            <w:pPr>
              <w:pStyle w:val="NormalWeb"/>
              <w:shd w:val="clear" w:color="auto" w:fill="FFFFFF"/>
              <w:ind w:left="1418"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t>Flowback Allocation per buyer</w:t>
            </w:r>
            <w:r w:rsidRPr="00097ABB">
              <w:rPr>
                <w:rFonts w:ascii="Arial" w:hAnsi="Arial" w:cs="Arial"/>
                <w:sz w:val="22"/>
                <w:szCs w:val="22"/>
                <w:bdr w:val="none" w:sz="0" w:space="0" w:color="auto" w:frame="1"/>
                <w:lang w:val="en-US"/>
              </w:rPr>
              <w:t xml:space="preserve"> is the buyer’s share in the GEA Flowback Amount in </w:t>
            </w:r>
            <w:proofErr w:type="spellStart"/>
            <w:r w:rsidRPr="00097ABB">
              <w:rPr>
                <w:rFonts w:ascii="Arial" w:hAnsi="Arial" w:cs="Arial"/>
                <w:sz w:val="22"/>
                <w:szCs w:val="22"/>
                <w:bdr w:val="none" w:sz="0" w:space="0" w:color="auto" w:frame="1"/>
                <w:lang w:val="en-US"/>
              </w:rPr>
              <w:t>PhP</w:t>
            </w:r>
            <w:proofErr w:type="spellEnd"/>
            <w:r w:rsidRPr="00097ABB">
              <w:rPr>
                <w:rFonts w:ascii="Arial" w:hAnsi="Arial" w:cs="Arial"/>
                <w:sz w:val="22"/>
                <w:szCs w:val="22"/>
                <w:bdr w:val="none" w:sz="0" w:space="0" w:color="auto" w:frame="1"/>
                <w:lang w:val="en-US"/>
              </w:rPr>
              <w:t xml:space="preserve"> at settlement interval h in the Energy Market.</w:t>
            </w:r>
          </w:p>
          <w:p w14:paraId="66FA2769" w14:textId="77777777" w:rsidR="0017533E" w:rsidRPr="00097ABB" w:rsidRDefault="0017533E" w:rsidP="0017533E">
            <w:pPr>
              <w:pStyle w:val="NormalWeb"/>
              <w:shd w:val="clear" w:color="auto" w:fill="FFFFFF"/>
              <w:ind w:left="1418" w:right="521"/>
              <w:jc w:val="both"/>
              <w:rPr>
                <w:rFonts w:ascii="Arial" w:hAnsi="Arial" w:cs="Arial"/>
                <w:sz w:val="22"/>
                <w:szCs w:val="22"/>
                <w:lang w:val="en-US"/>
              </w:rPr>
            </w:pPr>
            <w:r w:rsidRPr="00097ABB">
              <w:rPr>
                <w:rFonts w:ascii="Arial" w:hAnsi="Arial" w:cs="Arial"/>
                <w:b/>
                <w:bCs/>
                <w:sz w:val="22"/>
                <w:szCs w:val="22"/>
                <w:lang w:val="en-US"/>
              </w:rPr>
              <w:t>GEA Flowback Amount (GEAFA)</w:t>
            </w:r>
            <w:r w:rsidRPr="00097ABB">
              <w:rPr>
                <w:rFonts w:ascii="Arial" w:hAnsi="Arial" w:cs="Arial"/>
                <w:sz w:val="22"/>
                <w:szCs w:val="22"/>
                <w:lang w:val="en-US"/>
              </w:rPr>
              <w:t xml:space="preserve"> is the difference between TTA-PSH and GEAA per trading interval </w:t>
            </w:r>
            <w:proofErr w:type="spellStart"/>
            <w:r w:rsidRPr="00097ABB">
              <w:rPr>
                <w:rFonts w:ascii="Arial" w:hAnsi="Arial" w:cs="Arial"/>
                <w:sz w:val="22"/>
                <w:szCs w:val="22"/>
                <w:lang w:val="en-US"/>
              </w:rPr>
              <w:t>i</w:t>
            </w:r>
            <w:proofErr w:type="spellEnd"/>
            <w:r w:rsidRPr="00097ABB">
              <w:rPr>
                <w:rFonts w:ascii="Arial" w:hAnsi="Arial" w:cs="Arial"/>
                <w:sz w:val="22"/>
                <w:szCs w:val="22"/>
                <w:lang w:val="en-US"/>
              </w:rPr>
              <w:t xml:space="preserve"> where TTA-PSH is higher than GEAA in </w:t>
            </w:r>
            <w:proofErr w:type="spellStart"/>
            <w:r w:rsidRPr="00097ABB">
              <w:rPr>
                <w:rFonts w:ascii="Arial" w:hAnsi="Arial" w:cs="Arial"/>
                <w:sz w:val="22"/>
                <w:szCs w:val="22"/>
                <w:lang w:val="en-US"/>
              </w:rPr>
              <w:t>PhP</w:t>
            </w:r>
            <w:proofErr w:type="spellEnd"/>
            <w:r w:rsidRPr="00097ABB">
              <w:rPr>
                <w:rFonts w:ascii="Arial" w:hAnsi="Arial" w:cs="Arial"/>
                <w:sz w:val="22"/>
                <w:szCs w:val="22"/>
                <w:lang w:val="en-US"/>
              </w:rPr>
              <w:t>.</w:t>
            </w:r>
          </w:p>
          <w:p w14:paraId="483DBA97" w14:textId="0B03B549" w:rsidR="0017533E" w:rsidRPr="00097ABB" w:rsidRDefault="0017533E" w:rsidP="00097ABB">
            <w:pPr>
              <w:pStyle w:val="NormalWeb"/>
              <w:shd w:val="clear" w:color="auto" w:fill="FFFFFF"/>
              <w:ind w:left="2160" w:right="521" w:firstLine="720"/>
              <w:jc w:val="both"/>
              <w:rPr>
                <w:rFonts w:ascii="Arial" w:hAnsi="Arial" w:cs="Arial"/>
                <w:sz w:val="20"/>
                <w:szCs w:val="20"/>
                <w:bdr w:val="none" w:sz="0" w:space="0" w:color="auto" w:frame="1"/>
                <w:lang w:val="en-US"/>
              </w:rPr>
            </w:pPr>
            <m:oMathPara>
              <m:oMath>
                <m:r>
                  <m:rPr>
                    <m:sty m:val="bi"/>
                  </m:rPr>
                  <w:rPr>
                    <w:rFonts w:ascii="Cambria Math" w:hAnsi="Cambria Math" w:cs="Arial"/>
                    <w:sz w:val="20"/>
                    <w:szCs w:val="20"/>
                    <w:lang w:val="en-US"/>
                  </w:rPr>
                  <m:t>GEAFA</m:t>
                </m:r>
                <m:r>
                  <w:rPr>
                    <w:rFonts w:ascii="Cambria Math" w:hAnsi="Cambria Math" w:cs="Arial"/>
                    <w:sz w:val="20"/>
                    <w:szCs w:val="20"/>
                    <w:lang w:val="en-US"/>
                  </w:rPr>
                  <m:t xml:space="preserve">=(TTA-PSH- GEAA)× </m:t>
                </m:r>
                <m:f>
                  <m:fPr>
                    <m:ctrlPr>
                      <w:rPr>
                        <w:rFonts w:ascii="Cambria Math" w:hAnsi="Cambria Math" w:cs="Arial"/>
                        <w:i/>
                        <w:sz w:val="20"/>
                        <w:szCs w:val="20"/>
                        <w:lang w:val="en-US"/>
                      </w:rPr>
                    </m:ctrlPr>
                  </m:fPr>
                  <m:num>
                    <m:r>
                      <w:rPr>
                        <w:rFonts w:ascii="Cambria Math" w:hAnsi="Cambria Math" w:cs="Arial"/>
                        <w:sz w:val="20"/>
                        <w:szCs w:val="20"/>
                        <w:lang w:val="en-US"/>
                      </w:rPr>
                      <m:t>GSCEM</m:t>
                    </m:r>
                  </m:num>
                  <m:den>
                    <m:r>
                      <w:rPr>
                        <w:rFonts w:ascii="Cambria Math" w:hAnsi="Cambria Math" w:cs="Arial"/>
                        <w:sz w:val="20"/>
                        <w:szCs w:val="20"/>
                        <w:lang w:val="en-US"/>
                      </w:rPr>
                      <m:t>TAC</m:t>
                    </m:r>
                  </m:den>
                </m:f>
              </m:oMath>
            </m:oMathPara>
          </w:p>
          <w:p w14:paraId="497496EB" w14:textId="06437CBA" w:rsidR="0017533E" w:rsidRPr="00097ABB" w:rsidRDefault="0017533E" w:rsidP="0017533E">
            <w:pPr>
              <w:pStyle w:val="NormalWeb"/>
              <w:shd w:val="clear" w:color="auto" w:fill="FFFFFF"/>
              <w:ind w:right="521"/>
              <w:jc w:val="both"/>
              <w:rPr>
                <w:rFonts w:ascii="Arial" w:hAnsi="Arial" w:cs="Arial"/>
                <w:sz w:val="22"/>
                <w:szCs w:val="22"/>
              </w:rPr>
            </w:pPr>
            <w:r w:rsidRPr="00097ABB">
              <w:rPr>
                <w:rFonts w:ascii="Arial" w:hAnsi="Arial" w:cs="Arial"/>
                <w:sz w:val="22"/>
                <w:szCs w:val="22"/>
              </w:rPr>
              <w:tab/>
            </w:r>
            <w:r w:rsidRPr="00097ABB">
              <w:rPr>
                <w:rFonts w:ascii="Arial" w:hAnsi="Arial" w:cs="Arial"/>
                <w:sz w:val="22"/>
                <w:szCs w:val="22"/>
              </w:rPr>
              <w:tab/>
            </w:r>
            <w:r w:rsidRPr="00097ABB">
              <w:rPr>
                <w:rFonts w:ascii="Arial" w:hAnsi="Arial" w:cs="Arial"/>
                <w:sz w:val="22"/>
                <w:szCs w:val="22"/>
              </w:rPr>
              <w:tab/>
              <w:t>Where:</w:t>
            </w:r>
          </w:p>
          <w:p w14:paraId="18CE84CD" w14:textId="77777777" w:rsidR="0017533E" w:rsidRPr="00097ABB" w:rsidRDefault="0017533E" w:rsidP="0017533E">
            <w:pPr>
              <w:pStyle w:val="NormalWeb"/>
              <w:shd w:val="clear" w:color="auto" w:fill="FFFFFF"/>
              <w:spacing w:before="0" w:beforeAutospacing="0" w:after="0" w:afterAutospacing="0"/>
              <w:ind w:left="2127"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t xml:space="preserve">GSCEM </w:t>
            </w:r>
            <w:r w:rsidRPr="00097ABB">
              <w:rPr>
                <w:rFonts w:ascii="Arial" w:hAnsi="Arial" w:cs="Arial"/>
                <w:sz w:val="22"/>
                <w:szCs w:val="22"/>
                <w:bdr w:val="none" w:sz="0" w:space="0" w:color="auto" w:frame="1"/>
                <w:lang w:val="en-US"/>
              </w:rPr>
              <w:t>is the Gross Scheduled Capacity in either the Energy Market or the Reserve Market, with Energy Dispatched in the Energy Market.</w:t>
            </w:r>
          </w:p>
          <w:p w14:paraId="45C96545" w14:textId="77777777" w:rsidR="0017533E" w:rsidRPr="00097ABB" w:rsidRDefault="0017533E" w:rsidP="0017533E">
            <w:pPr>
              <w:pStyle w:val="NormalWeb"/>
              <w:shd w:val="clear" w:color="auto" w:fill="FFFFFF"/>
              <w:spacing w:before="0" w:beforeAutospacing="0" w:after="0" w:afterAutospacing="0"/>
              <w:ind w:left="1276" w:right="521"/>
              <w:jc w:val="both"/>
              <w:rPr>
                <w:rFonts w:ascii="Arial" w:hAnsi="Arial" w:cs="Arial"/>
                <w:b/>
                <w:bCs/>
                <w:sz w:val="22"/>
                <w:szCs w:val="22"/>
                <w:bdr w:val="none" w:sz="0" w:space="0" w:color="auto" w:frame="1"/>
                <w:lang w:val="en-US"/>
              </w:rPr>
            </w:pPr>
          </w:p>
          <w:p w14:paraId="379BA7E8" w14:textId="19BC9F73" w:rsidR="0017533E" w:rsidRPr="00097ABB" w:rsidRDefault="0017533E" w:rsidP="00097ABB">
            <w:pPr>
              <w:pStyle w:val="NormalWeb"/>
              <w:shd w:val="clear" w:color="auto" w:fill="FFFFFF"/>
              <w:ind w:left="2127"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t xml:space="preserve">TAC </w:t>
            </w:r>
            <w:r w:rsidRPr="00097ABB">
              <w:rPr>
                <w:rFonts w:ascii="Arial" w:hAnsi="Arial" w:cs="Arial"/>
                <w:sz w:val="22"/>
                <w:szCs w:val="22"/>
                <w:bdr w:val="none" w:sz="0" w:space="0" w:color="auto" w:frame="1"/>
                <w:lang w:val="en-US"/>
              </w:rPr>
              <w:t xml:space="preserve">is the Total Available Capacity of the PSH Facility that may be </w:t>
            </w:r>
            <w:r w:rsidRPr="00097ABB">
              <w:rPr>
                <w:rFonts w:ascii="Arial" w:hAnsi="Arial" w:cs="Arial"/>
                <w:sz w:val="22"/>
                <w:szCs w:val="22"/>
                <w:bdr w:val="none" w:sz="0" w:space="0" w:color="auto" w:frame="1"/>
              </w:rPr>
              <w:t xml:space="preserve">committed, </w:t>
            </w:r>
            <w:r w:rsidRPr="00097ABB">
              <w:rPr>
                <w:rFonts w:ascii="Arial" w:hAnsi="Arial" w:cs="Arial"/>
                <w:sz w:val="22"/>
                <w:szCs w:val="22"/>
                <w:bdr w:val="none" w:sz="0" w:space="0" w:color="auto" w:frame="1"/>
              </w:rPr>
              <w:lastRenderedPageBreak/>
              <w:t>scheduled and/or dispatched in the WESM</w:t>
            </w:r>
            <w:r w:rsidRPr="00097ABB">
              <w:rPr>
                <w:rFonts w:ascii="Arial" w:hAnsi="Arial" w:cs="Arial"/>
                <w:sz w:val="22"/>
                <w:szCs w:val="22"/>
                <w:bdr w:val="none" w:sz="0" w:space="0" w:color="auto" w:frame="1"/>
                <w:lang w:val="en-US"/>
              </w:rPr>
              <w:t>.</w:t>
            </w:r>
          </w:p>
          <w:p w14:paraId="35D22449" w14:textId="46DA96B9" w:rsidR="0017533E" w:rsidRPr="00097ABB" w:rsidRDefault="0017533E" w:rsidP="00097ABB">
            <w:pPr>
              <w:pStyle w:val="NormalWeb"/>
              <w:shd w:val="clear" w:color="auto" w:fill="FFFFFF"/>
              <w:ind w:left="1418"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t xml:space="preserve">GESQ </w:t>
            </w:r>
            <w:r w:rsidRPr="00097ABB">
              <w:rPr>
                <w:rFonts w:ascii="Arial" w:hAnsi="Arial" w:cs="Arial"/>
                <w:sz w:val="22"/>
                <w:szCs w:val="22"/>
                <w:bdr w:val="none" w:sz="0" w:space="0" w:color="auto" w:frame="1"/>
                <w:lang w:val="en-US"/>
              </w:rPr>
              <w:t>is the gross energy settlement quantity of electricity sold or purchased as determined in WESM Rules in MWh.</w:t>
            </w:r>
          </w:p>
          <w:p w14:paraId="3A7321F1" w14:textId="5889AE30" w:rsidR="0017533E" w:rsidRPr="00097ABB" w:rsidRDefault="0017533E" w:rsidP="00097ABB">
            <w:pPr>
              <w:pStyle w:val="NormalWeb"/>
              <w:shd w:val="clear" w:color="auto" w:fill="FFFFFF"/>
              <w:ind w:left="1418" w:right="521"/>
              <w:jc w:val="both"/>
              <w:rPr>
                <w:rFonts w:ascii="Arial" w:hAnsi="Arial" w:cs="Arial"/>
                <w:sz w:val="22"/>
                <w:szCs w:val="22"/>
                <w:bdr w:val="none" w:sz="0" w:space="0" w:color="auto" w:frame="1"/>
                <w:lang w:val="en-US"/>
              </w:rPr>
            </w:pPr>
            <w:proofErr w:type="spellStart"/>
            <w:r w:rsidRPr="00097ABB">
              <w:rPr>
                <w:rFonts w:ascii="Arial" w:hAnsi="Arial" w:cs="Arial"/>
                <w:b/>
                <w:bCs/>
                <w:sz w:val="22"/>
                <w:szCs w:val="22"/>
                <w:bdr w:val="none" w:sz="0" w:space="0" w:color="auto" w:frame="1"/>
                <w:lang w:val="en-US"/>
              </w:rPr>
              <w:t>GESQ</w:t>
            </w:r>
            <w:r w:rsidRPr="00097ABB">
              <w:rPr>
                <w:rFonts w:ascii="Arial" w:hAnsi="Arial" w:cs="Arial"/>
                <w:b/>
                <w:bCs/>
                <w:sz w:val="22"/>
                <w:szCs w:val="22"/>
                <w:bdr w:val="none" w:sz="0" w:space="0" w:color="auto" w:frame="1"/>
                <w:vertAlign w:val="subscript"/>
                <w:lang w:val="en-US"/>
              </w:rPr>
              <w:t>c</w:t>
            </w:r>
            <w:proofErr w:type="spellEnd"/>
            <w:r w:rsidRPr="00097ABB">
              <w:rPr>
                <w:rFonts w:ascii="Arial" w:hAnsi="Arial" w:cs="Arial"/>
                <w:b/>
                <w:bCs/>
                <w:sz w:val="22"/>
                <w:szCs w:val="22"/>
                <w:bdr w:val="none" w:sz="0" w:space="0" w:color="auto" w:frame="1"/>
                <w:lang w:val="en-US"/>
              </w:rPr>
              <w:t xml:space="preserve"> </w:t>
            </w:r>
            <w:r w:rsidRPr="00097ABB">
              <w:rPr>
                <w:rFonts w:ascii="Arial" w:hAnsi="Arial" w:cs="Arial"/>
                <w:sz w:val="22"/>
                <w:szCs w:val="22"/>
                <w:bdr w:val="none" w:sz="0" w:space="0" w:color="auto" w:frame="1"/>
                <w:lang w:val="en-US"/>
              </w:rPr>
              <w:t>is the GESQ for customer c (buyer in the WESM) for the billing month in MWh.</w:t>
            </w:r>
          </w:p>
          <w:p w14:paraId="44E3DFE5" w14:textId="7DCD5DCF" w:rsidR="0017533E" w:rsidRPr="00097ABB" w:rsidRDefault="0017533E" w:rsidP="00097ABB">
            <w:pPr>
              <w:pStyle w:val="NormalWeb"/>
              <w:shd w:val="clear" w:color="auto" w:fill="FFFFFF"/>
              <w:ind w:left="1418" w:right="521"/>
              <w:jc w:val="both"/>
              <w:rPr>
                <w:rFonts w:ascii="Arial" w:hAnsi="Arial" w:cs="Arial"/>
                <w:sz w:val="22"/>
                <w:szCs w:val="22"/>
                <w:bdr w:val="none" w:sz="0" w:space="0" w:color="auto" w:frame="1"/>
                <w:lang w:val="en-US"/>
              </w:rPr>
            </w:pPr>
            <w:proofErr w:type="spellStart"/>
            <w:r w:rsidRPr="00097ABB">
              <w:rPr>
                <w:rFonts w:ascii="Arial" w:hAnsi="Arial" w:cs="Arial"/>
                <w:b/>
                <w:bCs/>
                <w:sz w:val="22"/>
                <w:szCs w:val="22"/>
                <w:bdr w:val="none" w:sz="0" w:space="0" w:color="auto" w:frame="1"/>
                <w:lang w:val="en-US"/>
              </w:rPr>
              <w:t>GESQ</w:t>
            </w:r>
            <w:r w:rsidRPr="00097ABB">
              <w:rPr>
                <w:rFonts w:ascii="Arial" w:hAnsi="Arial" w:cs="Arial"/>
                <w:b/>
                <w:bCs/>
                <w:sz w:val="22"/>
                <w:szCs w:val="22"/>
                <w:bdr w:val="none" w:sz="0" w:space="0" w:color="auto" w:frame="1"/>
                <w:vertAlign w:val="subscript"/>
                <w:lang w:val="en-US"/>
              </w:rPr>
              <w:t>ctotal</w:t>
            </w:r>
            <w:proofErr w:type="spellEnd"/>
            <w:r w:rsidRPr="00097ABB">
              <w:rPr>
                <w:rFonts w:ascii="Arial" w:hAnsi="Arial" w:cs="Arial"/>
                <w:b/>
                <w:bCs/>
                <w:sz w:val="22"/>
                <w:szCs w:val="22"/>
                <w:bdr w:val="none" w:sz="0" w:space="0" w:color="auto" w:frame="1"/>
                <w:lang w:val="en-US"/>
              </w:rPr>
              <w:t xml:space="preserve"> </w:t>
            </w:r>
            <w:r w:rsidRPr="00097ABB">
              <w:rPr>
                <w:rFonts w:ascii="Arial" w:hAnsi="Arial" w:cs="Arial"/>
                <w:sz w:val="22"/>
                <w:szCs w:val="22"/>
                <w:bdr w:val="none" w:sz="0" w:space="0" w:color="auto" w:frame="1"/>
                <w:lang w:val="en-US"/>
              </w:rPr>
              <w:t>is the total customer GESQ (buyers in the WESM) for the billing month in MWh.</w:t>
            </w:r>
            <w:r w:rsidRPr="00097ABB" w:rsidDel="00742D2E">
              <w:rPr>
                <w:rFonts w:ascii="Arial" w:hAnsi="Arial" w:cs="Arial"/>
                <w:b/>
                <w:bCs/>
                <w:sz w:val="22"/>
                <w:szCs w:val="22"/>
                <w:bdr w:val="none" w:sz="0" w:space="0" w:color="auto" w:frame="1"/>
                <w:lang w:val="en-US"/>
              </w:rPr>
              <w:t xml:space="preserve"> </w:t>
            </w:r>
          </w:p>
          <w:p w14:paraId="2EDABDAF" w14:textId="65FB7BA4" w:rsidR="0017533E" w:rsidRPr="00097ABB" w:rsidRDefault="0017533E" w:rsidP="00097ABB">
            <w:pPr>
              <w:shd w:val="clear" w:color="auto" w:fill="FFFFFF"/>
              <w:ind w:left="698" w:right="521" w:firstLine="720"/>
              <w:jc w:val="both"/>
              <w:textAlignment w:val="baseline"/>
              <w:rPr>
                <w:rFonts w:ascii="Arial" w:eastAsia="Times New Roman" w:hAnsi="Arial" w:cs="Arial"/>
                <w:b/>
                <w:bCs/>
                <w:bdr w:val="none" w:sz="0" w:space="0" w:color="auto" w:frame="1"/>
                <w:lang w:eastAsia="en-PH"/>
              </w:rPr>
            </w:pPr>
            <w:r w:rsidRPr="00097ABB">
              <w:rPr>
                <w:rFonts w:ascii="Arial" w:eastAsia="Times New Roman" w:hAnsi="Arial" w:cs="Arial"/>
                <w:b/>
                <w:bCs/>
                <w:bdr w:val="none" w:sz="0" w:space="0" w:color="auto" w:frame="1"/>
                <w:lang w:eastAsia="en-PH"/>
              </w:rPr>
              <w:t>Reserve Market</w:t>
            </w:r>
          </w:p>
          <w:p w14:paraId="0CEF9CA3" w14:textId="36CD1F4E" w:rsidR="0017533E" w:rsidRPr="00097ABB" w:rsidRDefault="0017533E" w:rsidP="00097ABB">
            <w:pPr>
              <w:pStyle w:val="NormalWeb"/>
              <w:shd w:val="clear" w:color="auto" w:fill="FFFFFF" w:themeFill="background1"/>
              <w:ind w:left="1440" w:right="521" w:firstLine="720"/>
              <w:jc w:val="both"/>
              <w:rPr>
                <w:rFonts w:ascii="Arial" w:hAnsi="Arial" w:cs="Arial"/>
                <w:sz w:val="16"/>
                <w:szCs w:val="16"/>
              </w:rPr>
            </w:pPr>
            <m:oMathPara>
              <m:oMath>
                <m:r>
                  <m:rPr>
                    <m:sty m:val="bi"/>
                  </m:rPr>
                  <w:rPr>
                    <w:rFonts w:ascii="Cambria Math" w:hAnsi="Cambria Math" w:cs="Arial"/>
                    <w:sz w:val="16"/>
                    <w:szCs w:val="16"/>
                    <w:bdr w:val="none" w:sz="0" w:space="0" w:color="auto" w:frame="1"/>
                    <w:lang w:val="en-US"/>
                  </w:rPr>
                  <m:t>Flowback Allocation per buyer</m:t>
                </m:r>
                <m:r>
                  <w:rPr>
                    <w:rFonts w:ascii="Cambria Math" w:hAnsi="Cambria Math" w:cs="Arial"/>
                    <w:sz w:val="16"/>
                    <w:szCs w:val="16"/>
                    <w:bdr w:val="none" w:sz="0" w:space="0" w:color="auto" w:frame="1"/>
                    <w:lang w:val="en-US"/>
                  </w:rPr>
                  <m:t>=</m:t>
                </m:r>
                <m:nary>
                  <m:naryPr>
                    <m:chr m:val="∑"/>
                    <m:limLoc m:val="undOvr"/>
                    <m:supHide m:val="1"/>
                    <m:ctrlPr>
                      <w:rPr>
                        <w:rFonts w:ascii="Cambria Math" w:hAnsi="Cambria Math" w:cs="Arial"/>
                        <w:i/>
                        <w:sz w:val="16"/>
                        <w:szCs w:val="16"/>
                        <w:bdr w:val="none" w:sz="0" w:space="0" w:color="auto" w:frame="1"/>
                        <w:lang w:val="en-US"/>
                      </w:rPr>
                    </m:ctrlPr>
                  </m:naryPr>
                  <m:sub>
                    <m:r>
                      <w:rPr>
                        <w:rFonts w:ascii="Cambria Math" w:hAnsi="Cambria Math" w:cs="Arial"/>
                        <w:sz w:val="16"/>
                        <w:szCs w:val="16"/>
                        <w:bdr w:val="none" w:sz="0" w:space="0" w:color="auto" w:frame="1"/>
                        <w:lang w:val="en-US"/>
                      </w:rPr>
                      <m:t>i∈h</m:t>
                    </m:r>
                  </m:sub>
                  <m:sup/>
                  <m:e>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GEAFA</m:t>
                        </m:r>
                      </m:e>
                      <m:sub>
                        <m:r>
                          <w:rPr>
                            <w:rFonts w:ascii="Cambria Math" w:hAnsi="Cambria Math" w:cs="Arial"/>
                            <w:sz w:val="16"/>
                            <w:szCs w:val="16"/>
                            <w:bdr w:val="none" w:sz="0" w:space="0" w:color="auto" w:frame="1"/>
                            <w:lang w:val="en-US"/>
                          </w:rPr>
                          <m:t>i</m:t>
                        </m:r>
                      </m:sub>
                    </m:sSub>
                    <m:r>
                      <w:rPr>
                        <w:rFonts w:ascii="Cambria Math" w:hAnsi="Cambria Math" w:cs="Arial"/>
                        <w:sz w:val="16"/>
                        <w:szCs w:val="16"/>
                        <w:bdr w:val="none" w:sz="0" w:space="0" w:color="auto" w:frame="1"/>
                        <w:lang w:val="en-US"/>
                      </w:rPr>
                      <m:t xml:space="preserve"> × </m:t>
                    </m:r>
                    <m:f>
                      <m:fPr>
                        <m:ctrlPr>
                          <w:rPr>
                            <w:rFonts w:ascii="Cambria Math" w:hAnsi="Cambria Math" w:cs="Arial"/>
                            <w:i/>
                            <w:sz w:val="16"/>
                            <w:szCs w:val="16"/>
                            <w:bdr w:val="none" w:sz="0" w:space="0" w:color="auto" w:frame="1"/>
                            <w:lang w:val="en-US"/>
                          </w:rPr>
                        </m:ctrlPr>
                      </m:fPr>
                      <m:num>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GRSQ</m:t>
                            </m:r>
                          </m:e>
                          <m:sub>
                            <m:r>
                              <w:rPr>
                                <w:rFonts w:ascii="Cambria Math" w:hAnsi="Cambria Math" w:cs="Arial"/>
                                <w:sz w:val="16"/>
                                <w:szCs w:val="16"/>
                                <w:bdr w:val="none" w:sz="0" w:space="0" w:color="auto" w:frame="1"/>
                                <w:lang w:val="en-US"/>
                              </w:rPr>
                              <m:t>C</m:t>
                            </m:r>
                          </m:sub>
                        </m:sSub>
                      </m:num>
                      <m:den>
                        <m:sSub>
                          <m:sSubPr>
                            <m:ctrlPr>
                              <w:rPr>
                                <w:rFonts w:ascii="Cambria Math" w:hAnsi="Cambria Math" w:cs="Arial"/>
                                <w:i/>
                                <w:sz w:val="16"/>
                                <w:szCs w:val="16"/>
                                <w:bdr w:val="none" w:sz="0" w:space="0" w:color="auto" w:frame="1"/>
                                <w:lang w:val="en-US"/>
                              </w:rPr>
                            </m:ctrlPr>
                          </m:sSubPr>
                          <m:e>
                            <m:r>
                              <w:rPr>
                                <w:rFonts w:ascii="Cambria Math" w:hAnsi="Cambria Math" w:cs="Arial"/>
                                <w:sz w:val="16"/>
                                <w:szCs w:val="16"/>
                                <w:bdr w:val="none" w:sz="0" w:space="0" w:color="auto" w:frame="1"/>
                                <w:lang w:val="en-US"/>
                              </w:rPr>
                              <m:t>GRSQ</m:t>
                            </m:r>
                          </m:e>
                          <m:sub>
                            <m:r>
                              <w:rPr>
                                <w:rFonts w:ascii="Cambria Math" w:hAnsi="Cambria Math" w:cs="Arial"/>
                                <w:sz w:val="16"/>
                                <w:szCs w:val="16"/>
                                <w:bdr w:val="none" w:sz="0" w:space="0" w:color="auto" w:frame="1"/>
                                <w:lang w:val="en-US"/>
                              </w:rPr>
                              <m:t>ctotal</m:t>
                            </m:r>
                          </m:sub>
                        </m:sSub>
                      </m:den>
                    </m:f>
                  </m:e>
                </m:nary>
              </m:oMath>
            </m:oMathPara>
          </w:p>
          <w:p w14:paraId="6A83CD0F" w14:textId="7C9FBA41" w:rsidR="0017533E" w:rsidRPr="00097ABB" w:rsidRDefault="0017533E" w:rsidP="00097ABB">
            <w:pPr>
              <w:pStyle w:val="NormalWeb"/>
              <w:shd w:val="clear" w:color="auto" w:fill="FFFFFF"/>
              <w:ind w:left="1440" w:right="521"/>
              <w:jc w:val="both"/>
              <w:rPr>
                <w:rFonts w:ascii="Arial" w:hAnsi="Arial" w:cs="Arial"/>
                <w:sz w:val="22"/>
                <w:szCs w:val="22"/>
                <w:bdr w:val="none" w:sz="0" w:space="0" w:color="auto" w:frame="1"/>
                <w:lang w:val="en-US"/>
              </w:rPr>
            </w:pPr>
            <w:r w:rsidRPr="00097ABB">
              <w:rPr>
                <w:rFonts w:ascii="Arial" w:hAnsi="Arial" w:cs="Arial"/>
                <w:sz w:val="22"/>
                <w:szCs w:val="22"/>
                <w:bdr w:val="none" w:sz="0" w:space="0" w:color="auto" w:frame="1"/>
                <w:lang w:val="en-US"/>
              </w:rPr>
              <w:t>Where: </w:t>
            </w:r>
          </w:p>
          <w:p w14:paraId="14E1BBB9" w14:textId="195CBBAD" w:rsidR="0017533E" w:rsidRPr="00097ABB" w:rsidRDefault="0017533E" w:rsidP="00097ABB">
            <w:pPr>
              <w:pStyle w:val="NormalWeb"/>
              <w:shd w:val="clear" w:color="auto" w:fill="FFFFFF"/>
              <w:ind w:left="1418"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t xml:space="preserve">Flowback Allocation per buyer </w:t>
            </w:r>
            <w:r w:rsidRPr="00097ABB">
              <w:rPr>
                <w:rFonts w:ascii="Arial" w:hAnsi="Arial" w:cs="Arial"/>
                <w:sz w:val="22"/>
                <w:szCs w:val="22"/>
                <w:bdr w:val="none" w:sz="0" w:space="0" w:color="auto" w:frame="1"/>
                <w:lang w:val="en-US"/>
              </w:rPr>
              <w:t xml:space="preserve">is the buyer’s share in the GEA Flowback Amount in </w:t>
            </w:r>
            <w:proofErr w:type="spellStart"/>
            <w:r w:rsidRPr="00097ABB">
              <w:rPr>
                <w:rFonts w:ascii="Arial" w:hAnsi="Arial" w:cs="Arial"/>
                <w:sz w:val="22"/>
                <w:szCs w:val="22"/>
                <w:bdr w:val="none" w:sz="0" w:space="0" w:color="auto" w:frame="1"/>
                <w:lang w:val="en-US"/>
              </w:rPr>
              <w:t>PhP</w:t>
            </w:r>
            <w:proofErr w:type="spellEnd"/>
            <w:r w:rsidRPr="00097ABB">
              <w:rPr>
                <w:rFonts w:ascii="Arial" w:hAnsi="Arial" w:cs="Arial"/>
                <w:sz w:val="22"/>
                <w:szCs w:val="22"/>
                <w:bdr w:val="none" w:sz="0" w:space="0" w:color="auto" w:frame="1"/>
                <w:lang w:val="en-US"/>
              </w:rPr>
              <w:t xml:space="preserve"> at settlement interval h in the Reserve Market.</w:t>
            </w:r>
          </w:p>
          <w:p w14:paraId="32EB6C9E" w14:textId="77777777" w:rsidR="0017533E" w:rsidRPr="00097ABB" w:rsidRDefault="0017533E" w:rsidP="0017533E">
            <w:pPr>
              <w:pStyle w:val="NormalWeb"/>
              <w:shd w:val="clear" w:color="auto" w:fill="FFFFFF"/>
              <w:ind w:left="1418" w:right="521"/>
              <w:jc w:val="both"/>
              <w:rPr>
                <w:rFonts w:ascii="Arial" w:hAnsi="Arial" w:cs="Arial"/>
                <w:sz w:val="22"/>
                <w:szCs w:val="22"/>
                <w:lang w:val="en-US"/>
              </w:rPr>
            </w:pPr>
            <w:r w:rsidRPr="00097ABB">
              <w:rPr>
                <w:rFonts w:ascii="Arial" w:hAnsi="Arial" w:cs="Arial"/>
                <w:b/>
                <w:bCs/>
                <w:sz w:val="22"/>
                <w:szCs w:val="22"/>
                <w:lang w:val="en-US"/>
              </w:rPr>
              <w:t>GEA Flowback Amount</w:t>
            </w:r>
            <w:r w:rsidRPr="00097ABB">
              <w:rPr>
                <w:rFonts w:ascii="Arial" w:hAnsi="Arial" w:cs="Arial"/>
                <w:sz w:val="22"/>
                <w:szCs w:val="22"/>
                <w:lang w:val="en-US"/>
              </w:rPr>
              <w:t xml:space="preserve"> </w:t>
            </w:r>
            <w:r w:rsidRPr="00097ABB">
              <w:rPr>
                <w:rFonts w:ascii="Arial" w:hAnsi="Arial" w:cs="Arial"/>
                <w:b/>
                <w:bCs/>
                <w:sz w:val="22"/>
                <w:szCs w:val="22"/>
                <w:lang w:val="en-US"/>
              </w:rPr>
              <w:t>(GEAFA)</w:t>
            </w:r>
            <w:r w:rsidRPr="00097ABB">
              <w:rPr>
                <w:rFonts w:ascii="Arial" w:hAnsi="Arial" w:cs="Arial"/>
                <w:sz w:val="22"/>
                <w:szCs w:val="22"/>
                <w:lang w:val="en-US"/>
              </w:rPr>
              <w:t xml:space="preserve"> is the difference between TTA-PSH and GEAA per trading interval </w:t>
            </w:r>
            <w:proofErr w:type="spellStart"/>
            <w:r w:rsidRPr="00097ABB">
              <w:rPr>
                <w:rFonts w:ascii="Arial" w:hAnsi="Arial" w:cs="Arial"/>
                <w:sz w:val="22"/>
                <w:szCs w:val="22"/>
                <w:lang w:val="en-US"/>
              </w:rPr>
              <w:t>i</w:t>
            </w:r>
            <w:proofErr w:type="spellEnd"/>
            <w:r w:rsidRPr="00097ABB">
              <w:rPr>
                <w:rFonts w:ascii="Arial" w:hAnsi="Arial" w:cs="Arial"/>
                <w:sz w:val="22"/>
                <w:szCs w:val="22"/>
                <w:lang w:val="en-US"/>
              </w:rPr>
              <w:t xml:space="preserve"> where TTA-PSH is higher than GEAA in </w:t>
            </w:r>
            <w:proofErr w:type="spellStart"/>
            <w:r w:rsidRPr="00097ABB">
              <w:rPr>
                <w:rFonts w:ascii="Arial" w:hAnsi="Arial" w:cs="Arial"/>
                <w:sz w:val="22"/>
                <w:szCs w:val="22"/>
                <w:lang w:val="en-US"/>
              </w:rPr>
              <w:t>PhP</w:t>
            </w:r>
            <w:proofErr w:type="spellEnd"/>
            <w:r w:rsidRPr="00097ABB">
              <w:rPr>
                <w:rFonts w:ascii="Arial" w:hAnsi="Arial" w:cs="Arial"/>
                <w:sz w:val="22"/>
                <w:szCs w:val="22"/>
                <w:lang w:val="en-US"/>
              </w:rPr>
              <w:t>.</w:t>
            </w:r>
          </w:p>
          <w:p w14:paraId="400A3791" w14:textId="77777777" w:rsidR="0017533E" w:rsidRPr="00097ABB" w:rsidRDefault="0017533E" w:rsidP="0017533E">
            <w:pPr>
              <w:pStyle w:val="NormalWeb"/>
              <w:shd w:val="clear" w:color="auto" w:fill="FFFFFF"/>
              <w:ind w:left="2160" w:right="521" w:firstLine="720"/>
              <w:jc w:val="center"/>
              <w:rPr>
                <w:rFonts w:ascii="Arial" w:hAnsi="Arial" w:cs="Arial"/>
                <w:sz w:val="20"/>
                <w:szCs w:val="20"/>
                <w:bdr w:val="none" w:sz="0" w:space="0" w:color="auto" w:frame="1"/>
                <w:lang w:val="en-US"/>
              </w:rPr>
            </w:pPr>
            <m:oMathPara>
              <m:oMath>
                <m:r>
                  <m:rPr>
                    <m:sty m:val="bi"/>
                  </m:rPr>
                  <w:rPr>
                    <w:rFonts w:ascii="Cambria Math" w:hAnsi="Cambria Math" w:cs="Arial"/>
                    <w:sz w:val="20"/>
                    <w:szCs w:val="20"/>
                    <w:lang w:val="en-US"/>
                  </w:rPr>
                  <m:t>GEAFA</m:t>
                </m:r>
                <m:r>
                  <w:rPr>
                    <w:rFonts w:ascii="Cambria Math" w:hAnsi="Cambria Math" w:cs="Arial"/>
                    <w:sz w:val="20"/>
                    <w:szCs w:val="20"/>
                    <w:lang w:val="en-US"/>
                  </w:rPr>
                  <m:t xml:space="preserve">=(TTA-PSH- GEAA)× </m:t>
                </m:r>
                <m:f>
                  <m:fPr>
                    <m:ctrlPr>
                      <w:rPr>
                        <w:rFonts w:ascii="Cambria Math" w:hAnsi="Cambria Math" w:cs="Arial"/>
                        <w:i/>
                        <w:sz w:val="20"/>
                        <w:szCs w:val="20"/>
                        <w:lang w:val="en-US"/>
                      </w:rPr>
                    </m:ctrlPr>
                  </m:fPr>
                  <m:num>
                    <m:r>
                      <w:rPr>
                        <w:rFonts w:ascii="Cambria Math" w:hAnsi="Cambria Math" w:cs="Arial"/>
                        <w:sz w:val="20"/>
                        <w:szCs w:val="20"/>
                        <w:lang w:val="en-US"/>
                      </w:rPr>
                      <m:t>GSCRM</m:t>
                    </m:r>
                  </m:num>
                  <m:den>
                    <m:r>
                      <w:rPr>
                        <w:rFonts w:ascii="Cambria Math" w:hAnsi="Cambria Math" w:cs="Arial"/>
                        <w:sz w:val="20"/>
                        <w:szCs w:val="20"/>
                        <w:lang w:val="en-US"/>
                      </w:rPr>
                      <m:t>TAC</m:t>
                    </m:r>
                  </m:den>
                </m:f>
              </m:oMath>
            </m:oMathPara>
          </w:p>
          <w:p w14:paraId="73BBB2F6" w14:textId="25691885" w:rsidR="0017533E" w:rsidRPr="00097ABB" w:rsidRDefault="0017533E" w:rsidP="0017533E">
            <w:pPr>
              <w:pStyle w:val="NormalWeb"/>
              <w:shd w:val="clear" w:color="auto" w:fill="FFFFFF"/>
              <w:ind w:right="521"/>
              <w:jc w:val="both"/>
              <w:rPr>
                <w:rFonts w:ascii="Arial" w:hAnsi="Arial" w:cs="Arial"/>
                <w:sz w:val="22"/>
                <w:szCs w:val="22"/>
              </w:rPr>
            </w:pPr>
            <w:r w:rsidRPr="00097ABB">
              <w:rPr>
                <w:rFonts w:ascii="Arial" w:hAnsi="Arial" w:cs="Arial"/>
                <w:sz w:val="22"/>
                <w:szCs w:val="22"/>
              </w:rPr>
              <w:tab/>
            </w:r>
            <w:r w:rsidRPr="00097ABB">
              <w:rPr>
                <w:rFonts w:ascii="Arial" w:hAnsi="Arial" w:cs="Arial"/>
                <w:sz w:val="22"/>
                <w:szCs w:val="22"/>
              </w:rPr>
              <w:tab/>
            </w:r>
            <w:r w:rsidRPr="00097ABB">
              <w:rPr>
                <w:rFonts w:ascii="Arial" w:hAnsi="Arial" w:cs="Arial"/>
                <w:sz w:val="22"/>
                <w:szCs w:val="22"/>
              </w:rPr>
              <w:tab/>
              <w:t>Where:</w:t>
            </w:r>
          </w:p>
          <w:p w14:paraId="1D89CF3F" w14:textId="0AFCB590" w:rsidR="0017533E" w:rsidRPr="00097ABB" w:rsidRDefault="0017533E" w:rsidP="00097ABB">
            <w:pPr>
              <w:pStyle w:val="NormalWeb"/>
              <w:shd w:val="clear" w:color="auto" w:fill="FFFFFF"/>
              <w:spacing w:before="0" w:beforeAutospacing="0" w:after="0" w:afterAutospacing="0"/>
              <w:ind w:left="2160"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t xml:space="preserve">GSCRM </w:t>
            </w:r>
            <w:r w:rsidRPr="00097ABB">
              <w:rPr>
                <w:rFonts w:ascii="Arial" w:hAnsi="Arial" w:cs="Arial"/>
                <w:sz w:val="22"/>
                <w:szCs w:val="22"/>
                <w:bdr w:val="none" w:sz="0" w:space="0" w:color="auto" w:frame="1"/>
                <w:lang w:val="en-US"/>
              </w:rPr>
              <w:t>is the Gross Scheduled Capacity in the Reserve Market without Energy Dispatched in the Energy Market.</w:t>
            </w:r>
          </w:p>
          <w:p w14:paraId="1C450ACC" w14:textId="204D66EB" w:rsidR="0017533E" w:rsidRPr="00097ABB" w:rsidRDefault="0017533E" w:rsidP="00097ABB">
            <w:pPr>
              <w:pStyle w:val="NormalWeb"/>
              <w:shd w:val="clear" w:color="auto" w:fill="FFFFFF"/>
              <w:ind w:left="2160" w:right="521"/>
              <w:jc w:val="both"/>
              <w:rPr>
                <w:rFonts w:ascii="Arial" w:hAnsi="Arial" w:cs="Arial"/>
                <w:sz w:val="22"/>
                <w:szCs w:val="22"/>
                <w:bdr w:val="none" w:sz="0" w:space="0" w:color="auto" w:frame="1"/>
                <w:lang w:val="en-US"/>
              </w:rPr>
            </w:pPr>
            <w:r w:rsidRPr="00097ABB">
              <w:rPr>
                <w:rFonts w:ascii="Arial" w:hAnsi="Arial" w:cs="Arial"/>
                <w:b/>
                <w:bCs/>
                <w:sz w:val="22"/>
                <w:szCs w:val="22"/>
                <w:bdr w:val="none" w:sz="0" w:space="0" w:color="auto" w:frame="1"/>
                <w:lang w:val="en-US"/>
              </w:rPr>
              <w:lastRenderedPageBreak/>
              <w:t xml:space="preserve">TAC </w:t>
            </w:r>
            <w:r w:rsidRPr="00097ABB">
              <w:rPr>
                <w:rFonts w:ascii="Arial" w:hAnsi="Arial" w:cs="Arial"/>
                <w:sz w:val="22"/>
                <w:szCs w:val="22"/>
                <w:bdr w:val="none" w:sz="0" w:space="0" w:color="auto" w:frame="1"/>
                <w:lang w:val="en-US"/>
              </w:rPr>
              <w:t xml:space="preserve">is the Total Available Capacity of the PSH Facility that may be </w:t>
            </w:r>
            <w:r w:rsidRPr="00097ABB">
              <w:rPr>
                <w:rFonts w:ascii="Arial" w:hAnsi="Arial" w:cs="Arial"/>
                <w:sz w:val="22"/>
                <w:szCs w:val="22"/>
                <w:bdr w:val="none" w:sz="0" w:space="0" w:color="auto" w:frame="1"/>
              </w:rPr>
              <w:t>committed, scheduled and/or dispatched in the WESM</w:t>
            </w:r>
            <w:r w:rsidRPr="00097ABB">
              <w:rPr>
                <w:rFonts w:ascii="Arial" w:hAnsi="Arial" w:cs="Arial"/>
                <w:sz w:val="22"/>
                <w:szCs w:val="22"/>
                <w:bdr w:val="none" w:sz="0" w:space="0" w:color="auto" w:frame="1"/>
                <w:lang w:val="en-US"/>
              </w:rPr>
              <w:t>.</w:t>
            </w:r>
          </w:p>
          <w:p w14:paraId="09E09270" w14:textId="24D21E67" w:rsidR="0017533E" w:rsidRPr="00097ABB" w:rsidRDefault="0017533E" w:rsidP="00097ABB">
            <w:pPr>
              <w:pStyle w:val="NormalWeb"/>
              <w:shd w:val="clear" w:color="auto" w:fill="FFFFFF"/>
              <w:ind w:left="1418" w:right="521"/>
              <w:jc w:val="both"/>
              <w:rPr>
                <w:rFonts w:ascii="Arial" w:hAnsi="Arial" w:cs="Arial"/>
                <w:sz w:val="22"/>
                <w:szCs w:val="22"/>
                <w:lang w:val="en-US"/>
              </w:rPr>
            </w:pPr>
            <w:r w:rsidRPr="00097ABB">
              <w:rPr>
                <w:rFonts w:ascii="Arial" w:hAnsi="Arial" w:cs="Arial"/>
                <w:b/>
                <w:bCs/>
                <w:sz w:val="22"/>
                <w:szCs w:val="22"/>
                <w:bdr w:val="none" w:sz="0" w:space="0" w:color="auto" w:frame="1"/>
                <w:lang w:val="en-US"/>
              </w:rPr>
              <w:t xml:space="preserve">GRSQ </w:t>
            </w:r>
            <w:r w:rsidRPr="00097ABB">
              <w:rPr>
                <w:rFonts w:ascii="Arial" w:hAnsi="Arial" w:cs="Arial"/>
                <w:sz w:val="22"/>
                <w:szCs w:val="22"/>
                <w:bdr w:val="none" w:sz="0" w:space="0" w:color="auto" w:frame="1"/>
                <w:lang w:val="en-US"/>
              </w:rPr>
              <w:t>is the gross reserve settlement quantity of capacity sold or purchased as determined in WESM Rules in MW/h.</w:t>
            </w:r>
          </w:p>
          <w:p w14:paraId="5310EB1D" w14:textId="7C089754" w:rsidR="0017533E" w:rsidRPr="00097ABB" w:rsidRDefault="0017533E" w:rsidP="00097ABB">
            <w:pPr>
              <w:pStyle w:val="NormalWeb"/>
              <w:shd w:val="clear" w:color="auto" w:fill="FFFFFF"/>
              <w:ind w:left="1418" w:right="521"/>
              <w:jc w:val="both"/>
              <w:rPr>
                <w:rFonts w:ascii="Arial" w:hAnsi="Arial" w:cs="Arial"/>
                <w:sz w:val="22"/>
                <w:szCs w:val="22"/>
                <w:lang w:val="en-US"/>
              </w:rPr>
            </w:pPr>
            <w:proofErr w:type="spellStart"/>
            <w:r w:rsidRPr="00097ABB">
              <w:rPr>
                <w:rFonts w:ascii="Arial" w:hAnsi="Arial" w:cs="Arial"/>
                <w:b/>
                <w:bCs/>
                <w:sz w:val="22"/>
                <w:szCs w:val="22"/>
                <w:bdr w:val="none" w:sz="0" w:space="0" w:color="auto" w:frame="1"/>
                <w:lang w:val="en-US"/>
              </w:rPr>
              <w:t>GRSQ</w:t>
            </w:r>
            <w:r w:rsidRPr="00097ABB">
              <w:rPr>
                <w:rFonts w:ascii="Arial" w:hAnsi="Arial" w:cs="Arial"/>
                <w:b/>
                <w:bCs/>
                <w:sz w:val="22"/>
                <w:szCs w:val="22"/>
                <w:bdr w:val="none" w:sz="0" w:space="0" w:color="auto" w:frame="1"/>
                <w:vertAlign w:val="subscript"/>
                <w:lang w:val="en-US"/>
              </w:rPr>
              <w:t>c</w:t>
            </w:r>
            <w:proofErr w:type="spellEnd"/>
            <w:r w:rsidRPr="00097ABB">
              <w:rPr>
                <w:rFonts w:ascii="Arial" w:hAnsi="Arial" w:cs="Arial"/>
                <w:b/>
                <w:bCs/>
                <w:sz w:val="22"/>
                <w:szCs w:val="22"/>
                <w:bdr w:val="none" w:sz="0" w:space="0" w:color="auto" w:frame="1"/>
                <w:lang w:val="en-US"/>
              </w:rPr>
              <w:t xml:space="preserve"> </w:t>
            </w:r>
            <w:r w:rsidRPr="00097ABB">
              <w:rPr>
                <w:rFonts w:ascii="Arial" w:hAnsi="Arial" w:cs="Arial"/>
                <w:sz w:val="22"/>
                <w:szCs w:val="22"/>
                <w:bdr w:val="none" w:sz="0" w:space="0" w:color="auto" w:frame="1"/>
                <w:lang w:val="en-US"/>
              </w:rPr>
              <w:t>is the GRSQ for customer c (buyer in the WESM) for the billing month in MW/h.</w:t>
            </w:r>
          </w:p>
          <w:p w14:paraId="3B7CE0E0" w14:textId="373899A1" w:rsidR="00D632FF" w:rsidRPr="00097ABB" w:rsidRDefault="0017533E" w:rsidP="00097ABB">
            <w:pPr>
              <w:pStyle w:val="p2"/>
              <w:tabs>
                <w:tab w:val="left" w:pos="284"/>
                <w:tab w:val="left" w:pos="567"/>
                <w:tab w:val="left" w:pos="851"/>
                <w:tab w:val="left" w:pos="1134"/>
              </w:tabs>
              <w:ind w:left="1453" w:right="598"/>
              <w:jc w:val="both"/>
              <w:rPr>
                <w:rFonts w:ascii="Arial" w:eastAsia="Book Antiqua" w:hAnsi="Arial" w:cs="Arial"/>
                <w:color w:val="auto"/>
                <w:sz w:val="22"/>
                <w:szCs w:val="22"/>
              </w:rPr>
            </w:pPr>
            <w:proofErr w:type="spellStart"/>
            <w:r w:rsidRPr="00097ABB">
              <w:rPr>
                <w:rFonts w:ascii="Arial" w:hAnsi="Arial" w:cs="Arial"/>
                <w:b/>
                <w:bCs/>
                <w:color w:val="auto"/>
                <w:sz w:val="22"/>
                <w:szCs w:val="22"/>
                <w:bdr w:val="none" w:sz="0" w:space="0" w:color="auto" w:frame="1"/>
              </w:rPr>
              <w:t>GRSQ</w:t>
            </w:r>
            <w:r w:rsidRPr="00097ABB">
              <w:rPr>
                <w:rFonts w:ascii="Arial" w:hAnsi="Arial" w:cs="Arial"/>
                <w:b/>
                <w:bCs/>
                <w:color w:val="auto"/>
                <w:sz w:val="22"/>
                <w:szCs w:val="22"/>
                <w:bdr w:val="none" w:sz="0" w:space="0" w:color="auto" w:frame="1"/>
                <w:vertAlign w:val="subscript"/>
              </w:rPr>
              <w:t>ctotal</w:t>
            </w:r>
            <w:proofErr w:type="spellEnd"/>
            <w:r w:rsidRPr="00097ABB">
              <w:rPr>
                <w:rFonts w:ascii="Arial" w:hAnsi="Arial" w:cs="Arial"/>
                <w:b/>
                <w:bCs/>
                <w:color w:val="auto"/>
                <w:sz w:val="22"/>
                <w:szCs w:val="22"/>
                <w:bdr w:val="none" w:sz="0" w:space="0" w:color="auto" w:frame="1"/>
              </w:rPr>
              <w:t xml:space="preserve"> </w:t>
            </w:r>
            <w:r w:rsidRPr="00097ABB">
              <w:rPr>
                <w:rFonts w:ascii="Arial" w:hAnsi="Arial" w:cs="Arial"/>
                <w:color w:val="auto"/>
                <w:sz w:val="22"/>
                <w:szCs w:val="22"/>
                <w:bdr w:val="none" w:sz="0" w:space="0" w:color="auto" w:frame="1"/>
              </w:rPr>
              <w:t>is the total customer GRSQ (buyers</w:t>
            </w:r>
            <w:r w:rsidR="00097ABB">
              <w:rPr>
                <w:rFonts w:ascii="Arial" w:hAnsi="Arial" w:cs="Arial"/>
                <w:color w:val="auto"/>
                <w:sz w:val="22"/>
                <w:szCs w:val="22"/>
                <w:bdr w:val="none" w:sz="0" w:space="0" w:color="auto" w:frame="1"/>
              </w:rPr>
              <w:t xml:space="preserve"> </w:t>
            </w:r>
            <w:r w:rsidRPr="00097ABB">
              <w:rPr>
                <w:rFonts w:ascii="Arial" w:hAnsi="Arial" w:cs="Arial"/>
                <w:color w:val="auto"/>
                <w:sz w:val="22"/>
                <w:szCs w:val="22"/>
                <w:bdr w:val="none" w:sz="0" w:space="0" w:color="auto" w:frame="1"/>
              </w:rPr>
              <w:t>in the WESM) for the billing month in MW/h.”</w:t>
            </w:r>
          </w:p>
          <w:p w14:paraId="4DFF57DF" w14:textId="674761E4" w:rsidR="003E3602" w:rsidRPr="00097ABB" w:rsidRDefault="003E3602" w:rsidP="00652618">
            <w:pPr>
              <w:jc w:val="both"/>
              <w:rPr>
                <w:rFonts w:ascii="Arial" w:hAnsi="Arial" w:cs="Arial"/>
                <w:lang w:val="en-US"/>
              </w:rPr>
            </w:pPr>
          </w:p>
        </w:tc>
        <w:tc>
          <w:tcPr>
            <w:tcW w:w="5954" w:type="dxa"/>
          </w:tcPr>
          <w:p w14:paraId="57DAE864" w14:textId="77777777" w:rsidR="003E3602" w:rsidRPr="00097ABB" w:rsidRDefault="003E3602" w:rsidP="00040EFE">
            <w:pPr>
              <w:jc w:val="center"/>
              <w:rPr>
                <w:rFonts w:ascii="Arial" w:hAnsi="Arial" w:cs="Arial"/>
                <w:b/>
                <w:bCs/>
              </w:rPr>
            </w:pPr>
          </w:p>
        </w:tc>
        <w:tc>
          <w:tcPr>
            <w:tcW w:w="5670" w:type="dxa"/>
          </w:tcPr>
          <w:p w14:paraId="04123121" w14:textId="77777777" w:rsidR="003E3602" w:rsidRPr="00097ABB" w:rsidRDefault="003E3602" w:rsidP="00040EFE">
            <w:pPr>
              <w:jc w:val="center"/>
              <w:rPr>
                <w:rFonts w:ascii="Arial" w:hAnsi="Arial" w:cs="Arial"/>
                <w:b/>
                <w:bCs/>
              </w:rPr>
            </w:pPr>
          </w:p>
        </w:tc>
      </w:tr>
      <w:tr w:rsidR="0017533E" w:rsidRPr="00097ABB" w14:paraId="2CD9F082" w14:textId="77777777" w:rsidTr="000266E5">
        <w:trPr>
          <w:trHeight w:val="1015"/>
          <w:tblHeader/>
        </w:trPr>
        <w:tc>
          <w:tcPr>
            <w:tcW w:w="6799" w:type="dxa"/>
          </w:tcPr>
          <w:p w14:paraId="05F40DCF" w14:textId="77777777" w:rsidR="005C590D" w:rsidRPr="00097ABB" w:rsidRDefault="005C590D" w:rsidP="005C590D">
            <w:pPr>
              <w:ind w:right="521"/>
              <w:jc w:val="both"/>
              <w:rPr>
                <w:rFonts w:ascii="Arial" w:hAnsi="Arial" w:cs="Arial"/>
              </w:rPr>
            </w:pPr>
            <w:r w:rsidRPr="00097ABB">
              <w:rPr>
                <w:rFonts w:ascii="Arial" w:hAnsi="Arial" w:cs="Arial"/>
                <w:b/>
                <w:bCs/>
              </w:rPr>
              <w:lastRenderedPageBreak/>
              <w:t xml:space="preserve">Section 7. </w:t>
            </w:r>
            <w:r w:rsidRPr="00097ABB">
              <w:rPr>
                <w:rFonts w:ascii="Arial" w:hAnsi="Arial" w:cs="Arial"/>
              </w:rPr>
              <w:t>A new Section 9 is hereby inserted to read as follows:</w:t>
            </w:r>
          </w:p>
          <w:p w14:paraId="7EC283F4" w14:textId="77777777" w:rsidR="005C590D" w:rsidRPr="00097ABB" w:rsidRDefault="005C590D" w:rsidP="005C590D">
            <w:pPr>
              <w:ind w:right="521"/>
              <w:jc w:val="both"/>
              <w:rPr>
                <w:rFonts w:ascii="Arial" w:hAnsi="Arial" w:cs="Arial"/>
              </w:rPr>
            </w:pPr>
            <w:r w:rsidRPr="00097ABB">
              <w:rPr>
                <w:rFonts w:ascii="Arial" w:hAnsi="Arial" w:cs="Arial"/>
              </w:rPr>
              <w:tab/>
            </w:r>
          </w:p>
          <w:p w14:paraId="074D2BF8" w14:textId="77777777" w:rsidR="005C590D" w:rsidRPr="00097ABB" w:rsidRDefault="005C590D" w:rsidP="005C590D">
            <w:pPr>
              <w:ind w:left="720" w:right="521"/>
              <w:jc w:val="both"/>
              <w:rPr>
                <w:rFonts w:ascii="Arial" w:eastAsia="Times New Roman" w:hAnsi="Arial" w:cs="Arial"/>
                <w:lang w:eastAsia="en-PH"/>
              </w:rPr>
            </w:pPr>
            <w:r w:rsidRPr="00097ABB">
              <w:rPr>
                <w:rFonts w:ascii="Arial" w:hAnsi="Arial" w:cs="Arial"/>
                <w:b/>
                <w:bCs/>
              </w:rPr>
              <w:t>“Section 9.</w:t>
            </w:r>
            <w:r w:rsidRPr="00097ABB">
              <w:rPr>
                <w:rFonts w:ascii="Arial" w:eastAsia="Times New Roman" w:hAnsi="Arial" w:cs="Arial"/>
                <w:b/>
                <w:bCs/>
                <w:lang w:eastAsia="en-PH"/>
              </w:rPr>
              <w:t xml:space="preserve"> </w:t>
            </w:r>
            <w:r w:rsidRPr="00097ABB">
              <w:rPr>
                <w:rFonts w:ascii="Arial" w:eastAsia="Times New Roman" w:hAnsi="Arial" w:cs="Arial"/>
                <w:lang w:eastAsia="en-PH"/>
              </w:rPr>
              <w:t>The DOE shall issue specific rules and regulations for the smooth integration of PSH Facilities in the market. Such rules and regulations shall include, but shall be limited to, the following:</w:t>
            </w:r>
          </w:p>
          <w:p w14:paraId="369C742E" w14:textId="77777777" w:rsidR="005C590D" w:rsidRPr="00097ABB" w:rsidRDefault="005C590D" w:rsidP="005C590D">
            <w:pPr>
              <w:pStyle w:val="ListParagraph"/>
              <w:ind w:left="1080" w:right="521"/>
              <w:jc w:val="both"/>
              <w:rPr>
                <w:rFonts w:ascii="Arial" w:hAnsi="Arial" w:cs="Arial"/>
                <w:color w:val="auto"/>
                <w:kern w:val="2"/>
                <w:sz w:val="22"/>
                <w:szCs w:val="22"/>
              </w:rPr>
            </w:pPr>
          </w:p>
          <w:p w14:paraId="2B21CD32" w14:textId="77777777" w:rsidR="005C590D" w:rsidRPr="00097ABB" w:rsidRDefault="005C590D" w:rsidP="005C590D">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134" w:right="521"/>
              <w:contextualSpacing/>
              <w:jc w:val="both"/>
              <w:rPr>
                <w:rFonts w:ascii="Arial" w:hAnsi="Arial" w:cs="Arial"/>
                <w:color w:val="auto"/>
                <w:sz w:val="22"/>
                <w:szCs w:val="22"/>
              </w:rPr>
            </w:pPr>
            <w:r w:rsidRPr="00097ABB">
              <w:rPr>
                <w:rFonts w:ascii="Arial" w:hAnsi="Arial" w:cs="Arial"/>
                <w:color w:val="auto"/>
                <w:sz w:val="22"/>
                <w:szCs w:val="22"/>
              </w:rPr>
              <w:t>Prioritization of PSH in terms of scheduling and dispatch over other AS Providers in the Reserve Market and Generators in the Energy/Spot Market to ensure full utilization.</w:t>
            </w:r>
          </w:p>
          <w:p w14:paraId="4AC9D1C1" w14:textId="77777777" w:rsidR="005C590D" w:rsidRPr="00097ABB" w:rsidRDefault="005C590D" w:rsidP="005C590D">
            <w:pPr>
              <w:ind w:left="1134" w:right="521"/>
              <w:jc w:val="both"/>
              <w:rPr>
                <w:rFonts w:ascii="Arial" w:hAnsi="Arial" w:cs="Arial"/>
              </w:rPr>
            </w:pPr>
          </w:p>
          <w:p w14:paraId="3B80A3BE" w14:textId="77777777" w:rsidR="005C590D" w:rsidRPr="00097ABB" w:rsidRDefault="005C590D" w:rsidP="005C590D">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134" w:right="521"/>
              <w:contextualSpacing/>
              <w:jc w:val="both"/>
              <w:rPr>
                <w:rFonts w:ascii="Arial" w:hAnsi="Arial" w:cs="Arial"/>
                <w:color w:val="auto"/>
                <w:sz w:val="22"/>
                <w:szCs w:val="22"/>
              </w:rPr>
            </w:pPr>
            <w:r w:rsidRPr="00097ABB">
              <w:rPr>
                <w:rFonts w:ascii="Arial" w:hAnsi="Arial" w:cs="Arial"/>
                <w:color w:val="auto"/>
                <w:sz w:val="22"/>
                <w:szCs w:val="22"/>
              </w:rPr>
              <w:t>PSH shall undergo AS Capability Testing and Certification by the SO or any accredited third-party testing entity.</w:t>
            </w:r>
          </w:p>
          <w:p w14:paraId="51168691" w14:textId="77777777" w:rsidR="005C590D" w:rsidRPr="00097ABB" w:rsidRDefault="005C590D" w:rsidP="005C590D">
            <w:pPr>
              <w:pStyle w:val="ListParagraph"/>
              <w:ind w:left="1134" w:right="521"/>
              <w:rPr>
                <w:rFonts w:ascii="Arial" w:hAnsi="Arial" w:cs="Arial"/>
                <w:color w:val="auto"/>
                <w:sz w:val="22"/>
                <w:szCs w:val="22"/>
              </w:rPr>
            </w:pPr>
          </w:p>
          <w:p w14:paraId="68353AA5" w14:textId="77777777" w:rsidR="005C590D" w:rsidRPr="00097ABB" w:rsidRDefault="005C590D" w:rsidP="005C590D">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134" w:right="521"/>
              <w:contextualSpacing/>
              <w:jc w:val="both"/>
              <w:rPr>
                <w:rFonts w:ascii="Arial" w:hAnsi="Arial" w:cs="Arial"/>
                <w:color w:val="auto"/>
                <w:sz w:val="22"/>
                <w:szCs w:val="22"/>
              </w:rPr>
            </w:pPr>
            <w:r w:rsidRPr="00097ABB">
              <w:rPr>
                <w:rFonts w:ascii="Arial" w:hAnsi="Arial" w:cs="Arial"/>
                <w:color w:val="auto"/>
                <w:sz w:val="22"/>
                <w:szCs w:val="22"/>
              </w:rPr>
              <w:t>To ensure that PSH can provide other grid support services, PSH shall not be limited to the current AS, such as utilization of excess energy from variable renewable energy (VRE) Facilities for pumping of PSH Facilities.</w:t>
            </w:r>
          </w:p>
          <w:p w14:paraId="5D17C134" w14:textId="77777777" w:rsidR="005C590D" w:rsidRPr="00097ABB" w:rsidRDefault="005C590D" w:rsidP="005C590D">
            <w:pPr>
              <w:ind w:right="521"/>
              <w:rPr>
                <w:rFonts w:ascii="Arial" w:hAnsi="Arial" w:cs="Arial"/>
              </w:rPr>
            </w:pPr>
          </w:p>
          <w:p w14:paraId="735BCBFE" w14:textId="77777777" w:rsidR="005C590D" w:rsidRPr="00097ABB" w:rsidRDefault="005C590D" w:rsidP="000266E5">
            <w:pPr>
              <w:ind w:left="744" w:right="521" w:hanging="24"/>
              <w:rPr>
                <w:rFonts w:ascii="Arial" w:hAnsi="Arial" w:cs="Arial"/>
              </w:rPr>
            </w:pPr>
            <w:r w:rsidRPr="00097ABB">
              <w:rPr>
                <w:rFonts w:ascii="Arial" w:hAnsi="Arial" w:cs="Arial"/>
              </w:rPr>
              <w:t>The rules shall further provide the following responsibilities:</w:t>
            </w:r>
          </w:p>
          <w:p w14:paraId="23ADC2E4" w14:textId="77777777" w:rsidR="005C590D" w:rsidRPr="00097ABB" w:rsidRDefault="005C590D" w:rsidP="005C590D">
            <w:pPr>
              <w:ind w:right="521"/>
              <w:rPr>
                <w:rFonts w:ascii="Arial" w:hAnsi="Arial" w:cs="Arial"/>
              </w:rPr>
            </w:pPr>
          </w:p>
          <w:p w14:paraId="5C1A62CB" w14:textId="77777777" w:rsidR="005C590D" w:rsidRPr="00097ABB" w:rsidRDefault="005C590D" w:rsidP="005C590D">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134" w:right="521"/>
              <w:contextualSpacing/>
              <w:jc w:val="both"/>
              <w:rPr>
                <w:rFonts w:ascii="Arial" w:hAnsi="Arial" w:cs="Arial"/>
                <w:color w:val="auto"/>
                <w:sz w:val="22"/>
                <w:szCs w:val="22"/>
              </w:rPr>
            </w:pPr>
            <w:r w:rsidRPr="00097ABB">
              <w:rPr>
                <w:rFonts w:ascii="Arial" w:hAnsi="Arial" w:cs="Arial"/>
                <w:color w:val="auto"/>
                <w:sz w:val="22"/>
                <w:szCs w:val="22"/>
              </w:rPr>
              <w:t>The SO and MO shall implement the optimal dispatch of capacities from PSH providing energy and ancillary services to ensure that the demand and ancillary services requirements are always met.</w:t>
            </w:r>
          </w:p>
          <w:p w14:paraId="7B4CE7E6" w14:textId="77777777" w:rsidR="005C590D" w:rsidRPr="00097ABB" w:rsidRDefault="005C590D" w:rsidP="005C590D">
            <w:pPr>
              <w:pStyle w:val="ListParagraph"/>
              <w:ind w:left="1134" w:right="521"/>
              <w:jc w:val="both"/>
              <w:rPr>
                <w:rFonts w:ascii="Arial" w:hAnsi="Arial" w:cs="Arial"/>
                <w:color w:val="auto"/>
                <w:sz w:val="22"/>
                <w:szCs w:val="22"/>
              </w:rPr>
            </w:pPr>
          </w:p>
          <w:p w14:paraId="506960CF" w14:textId="77777777" w:rsidR="005C590D" w:rsidRPr="00097ABB" w:rsidRDefault="005C590D" w:rsidP="005C590D">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134" w:right="521"/>
              <w:contextualSpacing/>
              <w:jc w:val="both"/>
              <w:rPr>
                <w:rFonts w:ascii="Arial" w:hAnsi="Arial" w:cs="Arial"/>
                <w:color w:val="auto"/>
                <w:sz w:val="22"/>
                <w:szCs w:val="22"/>
              </w:rPr>
            </w:pPr>
            <w:r w:rsidRPr="00097ABB">
              <w:rPr>
                <w:rFonts w:ascii="Arial" w:hAnsi="Arial" w:cs="Arial"/>
                <w:color w:val="auto"/>
                <w:sz w:val="22"/>
                <w:szCs w:val="22"/>
              </w:rPr>
              <w:t xml:space="preserve">The SO </w:t>
            </w:r>
            <w:proofErr w:type="gramStart"/>
            <w:r w:rsidRPr="00097ABB">
              <w:rPr>
                <w:rFonts w:ascii="Arial" w:hAnsi="Arial" w:cs="Arial"/>
                <w:color w:val="auto"/>
                <w:sz w:val="22"/>
                <w:szCs w:val="22"/>
              </w:rPr>
              <w:t>shall</w:t>
            </w:r>
            <w:proofErr w:type="gramEnd"/>
            <w:r w:rsidRPr="00097ABB">
              <w:rPr>
                <w:rFonts w:ascii="Arial" w:hAnsi="Arial" w:cs="Arial"/>
                <w:color w:val="auto"/>
                <w:sz w:val="22"/>
                <w:szCs w:val="22"/>
              </w:rPr>
              <w:t xml:space="preserve"> as far as practicable, consider in its AS Procurement Plan the capacities and timelines of the PSH under the GEAP. Said capacities from PSH under the GEAP shall be prioritized.</w:t>
            </w:r>
          </w:p>
          <w:p w14:paraId="75B3C195" w14:textId="77777777" w:rsidR="005C590D" w:rsidRPr="00097ABB" w:rsidRDefault="005C590D" w:rsidP="005C590D">
            <w:pPr>
              <w:pStyle w:val="ListParagraph"/>
              <w:spacing w:after="160" w:line="259" w:lineRule="auto"/>
              <w:ind w:right="521"/>
              <w:rPr>
                <w:rFonts w:ascii="Arial" w:hAnsi="Arial" w:cs="Arial"/>
                <w:color w:val="auto"/>
                <w:sz w:val="22"/>
                <w:szCs w:val="22"/>
              </w:rPr>
            </w:pPr>
          </w:p>
          <w:p w14:paraId="0C166FE9" w14:textId="77777777" w:rsidR="005C590D" w:rsidRPr="00097ABB" w:rsidRDefault="005C590D" w:rsidP="005C590D">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134" w:right="521"/>
              <w:contextualSpacing/>
              <w:jc w:val="both"/>
              <w:rPr>
                <w:rFonts w:ascii="Arial" w:hAnsi="Arial" w:cs="Arial"/>
                <w:color w:val="auto"/>
                <w:sz w:val="22"/>
                <w:szCs w:val="22"/>
              </w:rPr>
            </w:pPr>
            <w:r w:rsidRPr="00097ABB">
              <w:rPr>
                <w:rFonts w:ascii="Arial" w:hAnsi="Arial" w:cs="Arial"/>
                <w:color w:val="auto"/>
                <w:sz w:val="22"/>
                <w:szCs w:val="22"/>
              </w:rPr>
              <w:lastRenderedPageBreak/>
              <w:t>The MO shall handle the payment and settlement of the GEA amount to the PSH Facilities of GEA Winning Bidders.</w:t>
            </w:r>
          </w:p>
          <w:p w14:paraId="53CFFE02" w14:textId="77777777" w:rsidR="005C590D" w:rsidRPr="00097ABB" w:rsidRDefault="005C590D" w:rsidP="005C590D">
            <w:pPr>
              <w:pStyle w:val="ListParagraph"/>
              <w:spacing w:after="160" w:line="259" w:lineRule="auto"/>
              <w:ind w:right="521"/>
              <w:rPr>
                <w:rFonts w:ascii="Arial" w:hAnsi="Arial" w:cs="Arial"/>
                <w:color w:val="auto"/>
                <w:sz w:val="22"/>
                <w:szCs w:val="22"/>
              </w:rPr>
            </w:pPr>
          </w:p>
          <w:p w14:paraId="6D506DB0" w14:textId="77777777" w:rsidR="005C590D" w:rsidRPr="00097ABB" w:rsidRDefault="005C590D" w:rsidP="005C590D">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134" w:right="521"/>
              <w:contextualSpacing/>
              <w:jc w:val="both"/>
              <w:rPr>
                <w:rFonts w:ascii="Arial" w:hAnsi="Arial" w:cs="Arial"/>
                <w:color w:val="auto"/>
                <w:sz w:val="22"/>
                <w:szCs w:val="22"/>
              </w:rPr>
            </w:pPr>
            <w:r w:rsidRPr="00097ABB">
              <w:rPr>
                <w:rFonts w:ascii="Arial" w:hAnsi="Arial" w:cs="Arial"/>
                <w:color w:val="auto"/>
                <w:sz w:val="22"/>
                <w:szCs w:val="22"/>
              </w:rPr>
              <w:t>The SO shall handle the scheduling and dispatch of the PSH.</w:t>
            </w:r>
          </w:p>
          <w:p w14:paraId="418CE668" w14:textId="77777777" w:rsidR="005C590D" w:rsidRPr="00097ABB" w:rsidRDefault="005C590D" w:rsidP="005C590D">
            <w:pPr>
              <w:pStyle w:val="ListParagraph"/>
              <w:spacing w:after="160" w:line="259" w:lineRule="auto"/>
              <w:ind w:right="521"/>
              <w:rPr>
                <w:rFonts w:ascii="Arial" w:hAnsi="Arial" w:cs="Arial"/>
                <w:color w:val="auto"/>
                <w:sz w:val="22"/>
                <w:szCs w:val="22"/>
              </w:rPr>
            </w:pPr>
          </w:p>
          <w:p w14:paraId="359BC223" w14:textId="77777777" w:rsidR="00DA79B5" w:rsidRPr="00DA79B5" w:rsidRDefault="005C590D" w:rsidP="005C590D">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134" w:right="521"/>
              <w:contextualSpacing/>
              <w:jc w:val="both"/>
              <w:rPr>
                <w:rFonts w:ascii="Arial" w:hAnsi="Arial" w:cs="Arial"/>
                <w:color w:val="auto"/>
                <w:sz w:val="22"/>
                <w:szCs w:val="22"/>
              </w:rPr>
            </w:pPr>
            <w:r w:rsidRPr="00097ABB">
              <w:rPr>
                <w:rFonts w:ascii="Arial" w:hAnsi="Arial" w:cs="Arial"/>
                <w:color w:val="auto"/>
                <w:sz w:val="22"/>
                <w:szCs w:val="22"/>
              </w:rPr>
              <w:t xml:space="preserve">The SO shall recover from grid users/customers, through a cost recovery mechanism in accordance with the guidelines to be promulgated by the ERC, the costs associated in the settlement of the Total GEA Amount whenever there is a shortfall or flowback amount relative thereto </w:t>
            </w:r>
            <w:r w:rsidRPr="00097ABB">
              <w:rPr>
                <w:rFonts w:ascii="Arial" w:eastAsiaTheme="minorHAnsi" w:hAnsi="Arial" w:cs="Arial"/>
                <w:color w:val="auto"/>
                <w:sz w:val="22"/>
                <w:szCs w:val="22"/>
              </w:rPr>
              <w:t>corresponding to the portion of the available capacity committed</w:t>
            </w:r>
            <w:r w:rsidRPr="00097ABB">
              <w:rPr>
                <w:rFonts w:ascii="Arial" w:hAnsi="Arial" w:cs="Arial"/>
                <w:color w:val="auto"/>
                <w:sz w:val="22"/>
                <w:szCs w:val="22"/>
              </w:rPr>
              <w:t xml:space="preserve"> or </w:t>
            </w:r>
            <w:r w:rsidRPr="00097ABB">
              <w:rPr>
                <w:rFonts w:ascii="Arial" w:eastAsia="Times New Roman" w:hAnsi="Arial" w:cs="Arial"/>
                <w:color w:val="auto"/>
                <w:sz w:val="22"/>
                <w:szCs w:val="22"/>
                <w:lang w:eastAsia="en-PH"/>
              </w:rPr>
              <w:t xml:space="preserve">scheduled </w:t>
            </w:r>
            <w:r w:rsidRPr="00097ABB">
              <w:rPr>
                <w:rFonts w:ascii="Arial" w:hAnsi="Arial" w:cs="Arial"/>
                <w:color w:val="auto"/>
                <w:sz w:val="22"/>
                <w:szCs w:val="22"/>
              </w:rPr>
              <w:t>in the reserve market</w:t>
            </w:r>
            <w:r w:rsidRPr="00097ABB">
              <w:rPr>
                <w:rFonts w:ascii="Arial" w:eastAsia="Times New Roman" w:hAnsi="Arial" w:cs="Arial"/>
                <w:color w:val="auto"/>
                <w:sz w:val="22"/>
                <w:szCs w:val="22"/>
                <w:lang w:eastAsia="en-PH"/>
              </w:rPr>
              <w:t xml:space="preserve"> but not dispatched to the Energy Market.</w:t>
            </w:r>
          </w:p>
          <w:p w14:paraId="33737EEC" w14:textId="77777777" w:rsidR="00DA79B5" w:rsidRPr="00DA79B5" w:rsidRDefault="00DA79B5" w:rsidP="00DA79B5">
            <w:pPr>
              <w:pStyle w:val="ListParagraph"/>
              <w:rPr>
                <w:rFonts w:ascii="Arial" w:hAnsi="Arial" w:cs="Arial"/>
              </w:rPr>
            </w:pPr>
          </w:p>
          <w:p w14:paraId="0904CB08" w14:textId="77777777" w:rsidR="0017533E" w:rsidRPr="00DA79B5" w:rsidRDefault="005C590D" w:rsidP="005C590D">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134" w:right="521"/>
              <w:contextualSpacing/>
              <w:jc w:val="both"/>
              <w:rPr>
                <w:rFonts w:ascii="Arial" w:hAnsi="Arial" w:cs="Arial"/>
                <w:color w:val="auto"/>
                <w:sz w:val="22"/>
                <w:szCs w:val="22"/>
              </w:rPr>
            </w:pPr>
            <w:r w:rsidRPr="00DA79B5">
              <w:rPr>
                <w:rFonts w:ascii="Arial" w:hAnsi="Arial" w:cs="Arial"/>
              </w:rPr>
              <w:t xml:space="preserve">The SO shall ensure that the procurement of the energy needed during pumping mode is at the least cost, whenever practicable. </w:t>
            </w:r>
            <w:r w:rsidRPr="00DA79B5">
              <w:rPr>
                <w:rFonts w:ascii="Arial" w:eastAsia="Times New Roman" w:hAnsi="Arial" w:cs="Arial"/>
                <w:lang w:eastAsia="en-PH"/>
              </w:rPr>
              <w:t>For the avoidance of doubt, the pumping costs shall be passed on to the relevant trading participant/s.</w:t>
            </w:r>
            <w:r w:rsidRPr="00DA79B5">
              <w:rPr>
                <w:rFonts w:ascii="Arial" w:hAnsi="Arial" w:cs="Arial"/>
              </w:rPr>
              <w:t>”</w:t>
            </w:r>
          </w:p>
          <w:p w14:paraId="27DB2FF5" w14:textId="1408EDE9" w:rsidR="00DA79B5" w:rsidRPr="00DA79B5" w:rsidRDefault="00DA79B5" w:rsidP="00DA79B5">
            <w:pPr>
              <w:ind w:right="521"/>
              <w:contextualSpacing/>
              <w:jc w:val="both"/>
              <w:rPr>
                <w:rFonts w:ascii="Arial" w:hAnsi="Arial" w:cs="Arial"/>
              </w:rPr>
            </w:pPr>
          </w:p>
        </w:tc>
        <w:tc>
          <w:tcPr>
            <w:tcW w:w="5954" w:type="dxa"/>
          </w:tcPr>
          <w:p w14:paraId="1ECB92B0" w14:textId="77777777" w:rsidR="0017533E" w:rsidRPr="00097ABB" w:rsidRDefault="0017533E" w:rsidP="00040EFE">
            <w:pPr>
              <w:jc w:val="center"/>
              <w:rPr>
                <w:rFonts w:ascii="Arial" w:hAnsi="Arial" w:cs="Arial"/>
                <w:b/>
                <w:bCs/>
              </w:rPr>
            </w:pPr>
          </w:p>
        </w:tc>
        <w:tc>
          <w:tcPr>
            <w:tcW w:w="5670" w:type="dxa"/>
          </w:tcPr>
          <w:p w14:paraId="02C724C3" w14:textId="77777777" w:rsidR="0017533E" w:rsidRPr="00097ABB" w:rsidRDefault="0017533E" w:rsidP="00040EFE">
            <w:pPr>
              <w:jc w:val="center"/>
              <w:rPr>
                <w:rFonts w:ascii="Arial" w:hAnsi="Arial" w:cs="Arial"/>
                <w:b/>
                <w:bCs/>
              </w:rPr>
            </w:pPr>
          </w:p>
        </w:tc>
      </w:tr>
      <w:tr w:rsidR="005C590D" w:rsidRPr="00097ABB" w14:paraId="491148E7" w14:textId="77777777" w:rsidTr="000266E5">
        <w:trPr>
          <w:trHeight w:val="1015"/>
          <w:tblHeader/>
        </w:trPr>
        <w:tc>
          <w:tcPr>
            <w:tcW w:w="6799" w:type="dxa"/>
          </w:tcPr>
          <w:p w14:paraId="71D6EC2E" w14:textId="77777777" w:rsidR="0067432A" w:rsidRPr="00097ABB" w:rsidRDefault="0067432A" w:rsidP="0067432A">
            <w:pPr>
              <w:ind w:right="521"/>
              <w:jc w:val="both"/>
              <w:rPr>
                <w:rFonts w:ascii="Arial" w:hAnsi="Arial" w:cs="Arial"/>
              </w:rPr>
            </w:pPr>
            <w:r w:rsidRPr="00097ABB">
              <w:rPr>
                <w:rFonts w:ascii="Arial" w:hAnsi="Arial" w:cs="Arial"/>
                <w:b/>
                <w:bCs/>
              </w:rPr>
              <w:t xml:space="preserve">Section 8. </w:t>
            </w:r>
            <w:r w:rsidRPr="00097ABB">
              <w:rPr>
                <w:rFonts w:ascii="Arial" w:hAnsi="Arial" w:cs="Arial"/>
              </w:rPr>
              <w:t>A new Section 10 is hereby inserted to read as follows:</w:t>
            </w:r>
          </w:p>
          <w:p w14:paraId="5D2F88DC" w14:textId="77777777" w:rsidR="0067432A" w:rsidRPr="00097ABB" w:rsidRDefault="0067432A" w:rsidP="0067432A">
            <w:pPr>
              <w:ind w:right="521"/>
              <w:contextualSpacing/>
              <w:rPr>
                <w:rFonts w:ascii="Arial" w:hAnsi="Arial" w:cs="Arial"/>
              </w:rPr>
            </w:pPr>
          </w:p>
          <w:p w14:paraId="03A24C59" w14:textId="77777777" w:rsidR="0067432A" w:rsidRPr="00097ABB" w:rsidRDefault="0067432A" w:rsidP="0067432A">
            <w:pPr>
              <w:ind w:left="720" w:right="521"/>
              <w:jc w:val="both"/>
              <w:rPr>
                <w:rFonts w:ascii="Arial" w:hAnsi="Arial" w:cs="Arial"/>
                <w:b/>
                <w:bCs/>
                <w:shd w:val="clear" w:color="auto" w:fill="FFFFFF"/>
              </w:rPr>
            </w:pPr>
            <w:r w:rsidRPr="00097ABB">
              <w:rPr>
                <w:rFonts w:ascii="Arial" w:hAnsi="Arial" w:cs="Arial"/>
                <w:shd w:val="clear" w:color="auto" w:fill="FFFFFF"/>
              </w:rPr>
              <w:t>“</w:t>
            </w:r>
            <w:r w:rsidRPr="00097ABB">
              <w:rPr>
                <w:rFonts w:ascii="Arial" w:hAnsi="Arial" w:cs="Arial"/>
                <w:b/>
                <w:bCs/>
                <w:shd w:val="clear" w:color="auto" w:fill="FFFFFF"/>
              </w:rPr>
              <w:t>Section 10. Revenues or Income Attributable to Winning Bidders.</w:t>
            </w:r>
          </w:p>
          <w:p w14:paraId="04579F71" w14:textId="77777777" w:rsidR="0067432A" w:rsidRPr="00097ABB" w:rsidRDefault="0067432A" w:rsidP="0067432A">
            <w:pPr>
              <w:ind w:left="720" w:right="521"/>
              <w:jc w:val="both"/>
              <w:rPr>
                <w:rFonts w:ascii="Arial" w:hAnsi="Arial" w:cs="Arial"/>
                <w:b/>
                <w:bCs/>
                <w:shd w:val="clear" w:color="auto" w:fill="FFFFFF"/>
              </w:rPr>
            </w:pPr>
          </w:p>
          <w:p w14:paraId="6C43A8D9" w14:textId="77777777" w:rsidR="005C590D" w:rsidRDefault="0067432A" w:rsidP="00F806E3">
            <w:pPr>
              <w:ind w:left="744" w:right="521"/>
              <w:jc w:val="both"/>
              <w:rPr>
                <w:rFonts w:ascii="Arial" w:hAnsi="Arial" w:cs="Arial"/>
                <w:shd w:val="clear" w:color="auto" w:fill="FFFFFF"/>
              </w:rPr>
            </w:pPr>
            <w:r w:rsidRPr="00097ABB">
              <w:rPr>
                <w:rFonts w:ascii="Arial" w:hAnsi="Arial" w:cs="Arial"/>
                <w:shd w:val="clear" w:color="auto" w:fill="FFFFFF"/>
              </w:rPr>
              <w:t>For the avoidance of doubt, regardless of the Energy Trading Amount for Geothermal and Impounding hydro, and Total Trading Amount for PSH, the revenues or income attributable to the GEA Winning Bidders shall be the Total GEA Amount it will receive based on the Non-FIT GET.”</w:t>
            </w:r>
          </w:p>
          <w:p w14:paraId="08683008" w14:textId="308C72DD" w:rsidR="00DA79B5" w:rsidRPr="00097ABB" w:rsidRDefault="00DA79B5" w:rsidP="00F806E3">
            <w:pPr>
              <w:ind w:left="744" w:right="521"/>
              <w:jc w:val="both"/>
              <w:rPr>
                <w:rFonts w:ascii="Arial" w:hAnsi="Arial" w:cs="Arial"/>
                <w:b/>
                <w:bCs/>
              </w:rPr>
            </w:pPr>
          </w:p>
        </w:tc>
        <w:tc>
          <w:tcPr>
            <w:tcW w:w="5954" w:type="dxa"/>
          </w:tcPr>
          <w:p w14:paraId="20076359" w14:textId="77777777" w:rsidR="005C590D" w:rsidRPr="00097ABB" w:rsidRDefault="005C590D" w:rsidP="00040EFE">
            <w:pPr>
              <w:jc w:val="center"/>
              <w:rPr>
                <w:rFonts w:ascii="Arial" w:hAnsi="Arial" w:cs="Arial"/>
                <w:b/>
                <w:bCs/>
              </w:rPr>
            </w:pPr>
          </w:p>
        </w:tc>
        <w:tc>
          <w:tcPr>
            <w:tcW w:w="5670" w:type="dxa"/>
          </w:tcPr>
          <w:p w14:paraId="567B08E6" w14:textId="77777777" w:rsidR="005C590D" w:rsidRPr="00097ABB" w:rsidRDefault="005C590D" w:rsidP="00040EFE">
            <w:pPr>
              <w:jc w:val="center"/>
              <w:rPr>
                <w:rFonts w:ascii="Arial" w:hAnsi="Arial" w:cs="Arial"/>
                <w:b/>
                <w:bCs/>
              </w:rPr>
            </w:pPr>
          </w:p>
        </w:tc>
      </w:tr>
      <w:tr w:rsidR="0067432A" w:rsidRPr="00097ABB" w14:paraId="3BA652C0" w14:textId="77777777" w:rsidTr="000266E5">
        <w:trPr>
          <w:trHeight w:val="663"/>
          <w:tblHeader/>
        </w:trPr>
        <w:tc>
          <w:tcPr>
            <w:tcW w:w="6799" w:type="dxa"/>
          </w:tcPr>
          <w:p w14:paraId="228A56E4" w14:textId="2E5D7BA1" w:rsidR="0067432A" w:rsidRPr="00097ABB" w:rsidRDefault="00CF04D9" w:rsidP="0067432A">
            <w:pPr>
              <w:ind w:right="521"/>
              <w:jc w:val="both"/>
              <w:rPr>
                <w:rFonts w:ascii="Arial" w:hAnsi="Arial" w:cs="Arial"/>
                <w:b/>
                <w:bCs/>
              </w:rPr>
            </w:pPr>
            <w:r w:rsidRPr="00097ABB">
              <w:rPr>
                <w:rFonts w:ascii="Arial" w:hAnsi="Arial" w:cs="Arial"/>
                <w:b/>
                <w:bCs/>
              </w:rPr>
              <w:lastRenderedPageBreak/>
              <w:t xml:space="preserve">Section 9. </w:t>
            </w:r>
            <w:r w:rsidRPr="00097ABB">
              <w:rPr>
                <w:rFonts w:ascii="Arial" w:hAnsi="Arial" w:cs="Arial"/>
              </w:rPr>
              <w:t>The sections in DC2023-10-0029 shall be renumbered accordingly.</w:t>
            </w:r>
          </w:p>
        </w:tc>
        <w:tc>
          <w:tcPr>
            <w:tcW w:w="5954" w:type="dxa"/>
          </w:tcPr>
          <w:p w14:paraId="30342DB0" w14:textId="77777777" w:rsidR="0067432A" w:rsidRPr="00097ABB" w:rsidRDefault="0067432A" w:rsidP="00040EFE">
            <w:pPr>
              <w:jc w:val="center"/>
              <w:rPr>
                <w:rFonts w:ascii="Arial" w:hAnsi="Arial" w:cs="Arial"/>
                <w:b/>
                <w:bCs/>
              </w:rPr>
            </w:pPr>
          </w:p>
        </w:tc>
        <w:tc>
          <w:tcPr>
            <w:tcW w:w="5670" w:type="dxa"/>
          </w:tcPr>
          <w:p w14:paraId="5CC99001" w14:textId="77777777" w:rsidR="0067432A" w:rsidRPr="00097ABB" w:rsidRDefault="0067432A" w:rsidP="00040EFE">
            <w:pPr>
              <w:jc w:val="center"/>
              <w:rPr>
                <w:rFonts w:ascii="Arial" w:hAnsi="Arial" w:cs="Arial"/>
                <w:b/>
                <w:bCs/>
              </w:rPr>
            </w:pPr>
          </w:p>
        </w:tc>
      </w:tr>
      <w:tr w:rsidR="00CF04D9" w:rsidRPr="00097ABB" w14:paraId="5B18FF37" w14:textId="77777777" w:rsidTr="000266E5">
        <w:trPr>
          <w:trHeight w:val="1015"/>
          <w:tblHeader/>
        </w:trPr>
        <w:tc>
          <w:tcPr>
            <w:tcW w:w="6799" w:type="dxa"/>
          </w:tcPr>
          <w:p w14:paraId="284DB556" w14:textId="77777777" w:rsidR="00463D66" w:rsidRPr="00097ABB" w:rsidRDefault="00463D66" w:rsidP="00463D66">
            <w:pPr>
              <w:ind w:right="-46"/>
              <w:jc w:val="both"/>
              <w:rPr>
                <w:rFonts w:ascii="Arial" w:eastAsia="Arial" w:hAnsi="Arial" w:cs="Arial"/>
                <w:b/>
              </w:rPr>
            </w:pPr>
            <w:r w:rsidRPr="00097ABB">
              <w:rPr>
                <w:rFonts w:ascii="Arial" w:hAnsi="Arial" w:cs="Arial"/>
                <w:b/>
                <w:bCs/>
                <w:shd w:val="clear" w:color="auto" w:fill="FFFFFF"/>
              </w:rPr>
              <w:t>Section 10. Separability Clause.</w:t>
            </w:r>
            <w:r w:rsidRPr="00097ABB">
              <w:rPr>
                <w:rFonts w:ascii="Arial" w:hAnsi="Arial" w:cs="Arial"/>
                <w:shd w:val="clear" w:color="auto" w:fill="FFFFFF"/>
              </w:rPr>
              <w:t xml:space="preserve"> </w:t>
            </w:r>
            <w:r w:rsidRPr="00097ABB">
              <w:rPr>
                <w:rFonts w:ascii="Arial" w:eastAsia="SimSun" w:hAnsi="Arial" w:cs="Arial"/>
                <w:lang w:eastAsia="zh-CN"/>
              </w:rPr>
              <w:t>If any section or provision of this Circular is declared invalid or unconstitutional, such parts not affected shall remain valid and subsisting.</w:t>
            </w:r>
          </w:p>
          <w:p w14:paraId="262CAB47" w14:textId="77777777" w:rsidR="00CF04D9" w:rsidRPr="00097ABB" w:rsidRDefault="00CF04D9" w:rsidP="0067432A">
            <w:pPr>
              <w:ind w:right="521"/>
              <w:jc w:val="both"/>
              <w:rPr>
                <w:rFonts w:ascii="Arial" w:hAnsi="Arial" w:cs="Arial"/>
                <w:b/>
                <w:bCs/>
              </w:rPr>
            </w:pPr>
          </w:p>
        </w:tc>
        <w:tc>
          <w:tcPr>
            <w:tcW w:w="5954" w:type="dxa"/>
          </w:tcPr>
          <w:p w14:paraId="1AB38B67" w14:textId="77777777" w:rsidR="00CF04D9" w:rsidRPr="00097ABB" w:rsidRDefault="00CF04D9" w:rsidP="00040EFE">
            <w:pPr>
              <w:jc w:val="center"/>
              <w:rPr>
                <w:rFonts w:ascii="Arial" w:hAnsi="Arial" w:cs="Arial"/>
                <w:b/>
                <w:bCs/>
              </w:rPr>
            </w:pPr>
          </w:p>
        </w:tc>
        <w:tc>
          <w:tcPr>
            <w:tcW w:w="5670" w:type="dxa"/>
          </w:tcPr>
          <w:p w14:paraId="74F7A244" w14:textId="77777777" w:rsidR="00CF04D9" w:rsidRPr="00097ABB" w:rsidRDefault="00CF04D9" w:rsidP="00040EFE">
            <w:pPr>
              <w:jc w:val="center"/>
              <w:rPr>
                <w:rFonts w:ascii="Arial" w:hAnsi="Arial" w:cs="Arial"/>
                <w:b/>
                <w:bCs/>
              </w:rPr>
            </w:pPr>
          </w:p>
        </w:tc>
      </w:tr>
      <w:tr w:rsidR="00463D66" w:rsidRPr="00097ABB" w14:paraId="793D661F" w14:textId="77777777" w:rsidTr="000266E5">
        <w:trPr>
          <w:trHeight w:val="1015"/>
          <w:tblHeader/>
        </w:trPr>
        <w:tc>
          <w:tcPr>
            <w:tcW w:w="6799" w:type="dxa"/>
          </w:tcPr>
          <w:p w14:paraId="33D335CF" w14:textId="77777777" w:rsidR="00E019C8" w:rsidRPr="00097ABB" w:rsidRDefault="00E019C8" w:rsidP="00E019C8">
            <w:pPr>
              <w:ind w:right="-46"/>
              <w:jc w:val="both"/>
              <w:rPr>
                <w:rFonts w:ascii="Arial" w:eastAsia="Book Antiqua" w:hAnsi="Arial" w:cs="Arial"/>
              </w:rPr>
            </w:pPr>
            <w:r w:rsidRPr="00097ABB">
              <w:rPr>
                <w:rFonts w:ascii="Arial" w:hAnsi="Arial" w:cs="Arial"/>
                <w:b/>
                <w:bCs/>
                <w:shd w:val="clear" w:color="auto" w:fill="FFFFFF"/>
              </w:rPr>
              <w:t>Section 11. Repealing Clause</w:t>
            </w:r>
            <w:r w:rsidRPr="00097ABB">
              <w:rPr>
                <w:rFonts w:ascii="Arial" w:hAnsi="Arial" w:cs="Arial"/>
                <w:shd w:val="clear" w:color="auto" w:fill="FFFFFF"/>
              </w:rPr>
              <w:t xml:space="preserve">. </w:t>
            </w:r>
            <w:r w:rsidRPr="00097ABB">
              <w:rPr>
                <w:rFonts w:ascii="Arial" w:eastAsia="Book Antiqua" w:hAnsi="Arial" w:cs="Arial"/>
              </w:rPr>
              <w:t xml:space="preserve">The provisions of other circulars, orders, issuances, rules, and regulations which are inconsistent with the provisions of this Circular, are hereby repealed, amended, modified, or superseded accordingly. </w:t>
            </w:r>
          </w:p>
          <w:p w14:paraId="4406AFAA" w14:textId="77777777" w:rsidR="00463D66" w:rsidRPr="00097ABB" w:rsidRDefault="00463D66" w:rsidP="00463D66">
            <w:pPr>
              <w:ind w:right="-46"/>
              <w:jc w:val="both"/>
              <w:rPr>
                <w:rFonts w:ascii="Arial" w:hAnsi="Arial" w:cs="Arial"/>
                <w:b/>
                <w:bCs/>
                <w:shd w:val="clear" w:color="auto" w:fill="FFFFFF"/>
              </w:rPr>
            </w:pPr>
          </w:p>
        </w:tc>
        <w:tc>
          <w:tcPr>
            <w:tcW w:w="5954" w:type="dxa"/>
          </w:tcPr>
          <w:p w14:paraId="4F8DE266" w14:textId="77777777" w:rsidR="00463D66" w:rsidRPr="00097ABB" w:rsidRDefault="00463D66" w:rsidP="00040EFE">
            <w:pPr>
              <w:jc w:val="center"/>
              <w:rPr>
                <w:rFonts w:ascii="Arial" w:hAnsi="Arial" w:cs="Arial"/>
                <w:b/>
                <w:bCs/>
              </w:rPr>
            </w:pPr>
          </w:p>
        </w:tc>
        <w:tc>
          <w:tcPr>
            <w:tcW w:w="5670" w:type="dxa"/>
          </w:tcPr>
          <w:p w14:paraId="11335480" w14:textId="77777777" w:rsidR="00463D66" w:rsidRPr="00097ABB" w:rsidRDefault="00463D66" w:rsidP="00040EFE">
            <w:pPr>
              <w:jc w:val="center"/>
              <w:rPr>
                <w:rFonts w:ascii="Arial" w:hAnsi="Arial" w:cs="Arial"/>
                <w:b/>
                <w:bCs/>
              </w:rPr>
            </w:pPr>
          </w:p>
        </w:tc>
      </w:tr>
      <w:tr w:rsidR="00E019C8" w:rsidRPr="00097ABB" w14:paraId="2D3D92B6" w14:textId="77777777" w:rsidTr="000266E5">
        <w:trPr>
          <w:trHeight w:val="1015"/>
          <w:tblHeader/>
        </w:trPr>
        <w:tc>
          <w:tcPr>
            <w:tcW w:w="6799" w:type="dxa"/>
          </w:tcPr>
          <w:p w14:paraId="15EF2D37" w14:textId="77777777" w:rsidR="00097ABB" w:rsidRPr="00097ABB" w:rsidRDefault="00097ABB" w:rsidP="00097ABB">
            <w:pPr>
              <w:pStyle w:val="p2"/>
              <w:tabs>
                <w:tab w:val="left" w:pos="284"/>
                <w:tab w:val="left" w:pos="567"/>
                <w:tab w:val="left" w:pos="851"/>
                <w:tab w:val="left" w:pos="1134"/>
              </w:tabs>
              <w:ind w:right="-46"/>
              <w:jc w:val="both"/>
              <w:rPr>
                <w:rFonts w:ascii="Arial" w:eastAsia="Book Antiqua" w:hAnsi="Arial" w:cs="Arial"/>
                <w:color w:val="auto"/>
                <w:sz w:val="22"/>
                <w:szCs w:val="22"/>
              </w:rPr>
            </w:pPr>
            <w:r w:rsidRPr="00097ABB">
              <w:rPr>
                <w:rFonts w:ascii="Arial" w:hAnsi="Arial" w:cs="Arial"/>
                <w:b/>
                <w:bCs/>
                <w:color w:val="auto"/>
                <w:sz w:val="22"/>
                <w:szCs w:val="22"/>
              </w:rPr>
              <w:t>Section 12. Effectivity</w:t>
            </w:r>
            <w:r w:rsidRPr="00097ABB">
              <w:rPr>
                <w:rFonts w:ascii="Arial" w:hAnsi="Arial" w:cs="Arial"/>
                <w:color w:val="auto"/>
                <w:sz w:val="22"/>
                <w:szCs w:val="22"/>
              </w:rPr>
              <w:t xml:space="preserve">. </w:t>
            </w:r>
            <w:r w:rsidRPr="00097ABB">
              <w:rPr>
                <w:rFonts w:ascii="Arial" w:eastAsia="Book Antiqua" w:hAnsi="Arial" w:cs="Arial"/>
                <w:color w:val="auto"/>
                <w:sz w:val="22"/>
                <w:szCs w:val="22"/>
              </w:rPr>
              <w:t xml:space="preserve">This Circular shall take effect </w:t>
            </w:r>
            <w:r w:rsidRPr="00097ABB">
              <w:rPr>
                <w:rFonts w:ascii="Arial" w:hAnsi="Arial" w:cs="Arial"/>
                <w:color w:val="auto"/>
                <w:sz w:val="22"/>
                <w:szCs w:val="22"/>
              </w:rPr>
              <w:t xml:space="preserve">immediately after </w:t>
            </w:r>
            <w:r w:rsidRPr="00097ABB">
              <w:rPr>
                <w:rFonts w:ascii="Arial" w:eastAsia="Book Antiqua" w:hAnsi="Arial" w:cs="Arial"/>
                <w:color w:val="auto"/>
                <w:sz w:val="22"/>
                <w:szCs w:val="22"/>
              </w:rPr>
              <w:t>publication in two (2) newspapers of general circulation. A copy of this DC shall be filed with the University of the Philippines Law Center – Office of National Administrative Register (UPLC-ONAR).</w:t>
            </w:r>
          </w:p>
          <w:p w14:paraId="34D05E5D" w14:textId="77777777" w:rsidR="00E019C8" w:rsidRPr="00097ABB" w:rsidRDefault="00E019C8" w:rsidP="00E019C8">
            <w:pPr>
              <w:ind w:right="-46"/>
              <w:jc w:val="both"/>
              <w:rPr>
                <w:rFonts w:ascii="Arial" w:hAnsi="Arial" w:cs="Arial"/>
                <w:b/>
                <w:bCs/>
                <w:shd w:val="clear" w:color="auto" w:fill="FFFFFF"/>
                <w:lang w:val="en-US"/>
              </w:rPr>
            </w:pPr>
          </w:p>
        </w:tc>
        <w:tc>
          <w:tcPr>
            <w:tcW w:w="5954" w:type="dxa"/>
          </w:tcPr>
          <w:p w14:paraId="38C0E117" w14:textId="77777777" w:rsidR="00E019C8" w:rsidRPr="00097ABB" w:rsidRDefault="00E019C8" w:rsidP="00040EFE">
            <w:pPr>
              <w:jc w:val="center"/>
              <w:rPr>
                <w:rFonts w:ascii="Arial" w:hAnsi="Arial" w:cs="Arial"/>
                <w:b/>
                <w:bCs/>
              </w:rPr>
            </w:pPr>
          </w:p>
        </w:tc>
        <w:tc>
          <w:tcPr>
            <w:tcW w:w="5670" w:type="dxa"/>
          </w:tcPr>
          <w:p w14:paraId="5A87F7E2" w14:textId="77777777" w:rsidR="00E019C8" w:rsidRPr="00097ABB" w:rsidRDefault="00E019C8" w:rsidP="00040EFE">
            <w:pPr>
              <w:jc w:val="center"/>
              <w:rPr>
                <w:rFonts w:ascii="Arial" w:hAnsi="Arial" w:cs="Arial"/>
                <w:b/>
                <w:bCs/>
              </w:rPr>
            </w:pPr>
          </w:p>
        </w:tc>
      </w:tr>
    </w:tbl>
    <w:p w14:paraId="48F32E0E" w14:textId="77777777" w:rsidR="008C10E1" w:rsidRPr="00097ABB" w:rsidRDefault="008C10E1">
      <w:pPr>
        <w:rPr>
          <w:rFonts w:ascii="Arial" w:hAnsi="Arial" w:cs="Arial"/>
        </w:rPr>
      </w:pPr>
    </w:p>
    <w:p w14:paraId="140B3F4C" w14:textId="77777777" w:rsidR="00D632FF" w:rsidRPr="00097ABB" w:rsidRDefault="00D632FF">
      <w:pPr>
        <w:rPr>
          <w:rFonts w:ascii="Arial" w:hAnsi="Arial" w:cs="Arial"/>
        </w:rPr>
      </w:pPr>
    </w:p>
    <w:sectPr w:rsidR="00D632FF" w:rsidRPr="00097ABB" w:rsidSect="000266E5">
      <w:headerReference w:type="default" r:id="rId11"/>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45264" w14:textId="77777777" w:rsidR="002962B0" w:rsidRDefault="002962B0" w:rsidP="00040EFE">
      <w:pPr>
        <w:spacing w:after="0" w:line="240" w:lineRule="auto"/>
      </w:pPr>
      <w:r>
        <w:separator/>
      </w:r>
    </w:p>
  </w:endnote>
  <w:endnote w:type="continuationSeparator" w:id="0">
    <w:p w14:paraId="40D2BEA4" w14:textId="77777777" w:rsidR="002962B0" w:rsidRDefault="002962B0"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B3C6F" w14:textId="77777777" w:rsidR="002962B0" w:rsidRDefault="002962B0" w:rsidP="00040EFE">
      <w:pPr>
        <w:spacing w:after="0" w:line="240" w:lineRule="auto"/>
      </w:pPr>
      <w:r>
        <w:separator/>
      </w:r>
    </w:p>
  </w:footnote>
  <w:footnote w:type="continuationSeparator" w:id="0">
    <w:p w14:paraId="61C28639" w14:textId="77777777" w:rsidR="002962B0" w:rsidRDefault="002962B0"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AB8E" w14:textId="6F5F4081" w:rsidR="007B3274" w:rsidRPr="00542BF4" w:rsidRDefault="00040EFE" w:rsidP="007B3274">
    <w:pPr>
      <w:pStyle w:val="NoSpacing"/>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&gt; Comments on the Proposed Department Circular on</w:t>
    </w:r>
    <w:r w:rsidR="00D632FF">
      <w:rPr>
        <w:rFonts w:ascii="Arial" w:hAnsi="Arial" w:cs="Arial"/>
        <w:b/>
        <w:bCs/>
      </w:rPr>
      <w:t xml:space="preserve"> Prescribing Amendments to Department Circular No. DC2023-10-0029 Titled,</w:t>
    </w:r>
    <w:bookmarkStart w:id="0" w:name="_Hlk106964847"/>
    <w:r w:rsidR="00D632FF">
      <w:rPr>
        <w:rFonts w:ascii="Arial" w:hAnsi="Arial" w:cs="Arial"/>
        <w:b/>
        <w:bCs/>
      </w:rPr>
      <w:t xml:space="preserve"> </w:t>
    </w:r>
    <w:r w:rsidR="00542BF4" w:rsidRPr="00542BF4">
      <w:rPr>
        <w:rFonts w:ascii="Arial" w:hAnsi="Arial" w:cs="Arial"/>
        <w:b/>
        <w:bCs/>
      </w:rPr>
      <w:t>“Providing Specific Auction Policy and Guidelines for Non-FIT</w:t>
    </w:r>
    <w:r w:rsidR="00D632FF">
      <w:rPr>
        <w:rFonts w:ascii="Arial" w:hAnsi="Arial" w:cs="Arial"/>
        <w:b/>
        <w:bCs/>
      </w:rPr>
      <w:t>-</w:t>
    </w:r>
    <w:r w:rsidR="00542BF4" w:rsidRPr="00542BF4">
      <w:rPr>
        <w:rFonts w:ascii="Arial" w:hAnsi="Arial" w:cs="Arial"/>
        <w:b/>
        <w:bCs/>
      </w:rPr>
      <w:t>Eligible RE technologies in the Green Energy Auction Program”.</w:t>
    </w:r>
  </w:p>
  <w:bookmarkEnd w:id="0"/>
  <w:p w14:paraId="20C2CDED" w14:textId="4B0612B8" w:rsidR="00040EFE" w:rsidRPr="00D632FF" w:rsidRDefault="00040EFE" w:rsidP="007B3274">
    <w:pPr>
      <w:pStyle w:val="p2"/>
      <w:tabs>
        <w:tab w:val="left" w:pos="284"/>
        <w:tab w:val="left" w:pos="567"/>
        <w:tab w:val="left" w:pos="851"/>
        <w:tab w:val="left" w:pos="1134"/>
      </w:tabs>
      <w:jc w:val="center"/>
      <w:rPr>
        <w:lang w:val="en-P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406"/>
    <w:multiLevelType w:val="hybridMultilevel"/>
    <w:tmpl w:val="0D560DD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D641B"/>
    <w:multiLevelType w:val="hybridMultilevel"/>
    <w:tmpl w:val="E2AC8540"/>
    <w:lvl w:ilvl="0" w:tplc="3409000F">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090950CC"/>
    <w:multiLevelType w:val="hybridMultilevel"/>
    <w:tmpl w:val="8E0C0680"/>
    <w:lvl w:ilvl="0" w:tplc="FFFFFFFF">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6" w15:restartNumberingAfterBreak="0">
    <w:nsid w:val="0C3F790E"/>
    <w:multiLevelType w:val="hybridMultilevel"/>
    <w:tmpl w:val="E7DA1E4C"/>
    <w:lvl w:ilvl="0" w:tplc="B88C7EEC">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7"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0E353D5D"/>
    <w:multiLevelType w:val="hybridMultilevel"/>
    <w:tmpl w:val="0D560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11" w15:restartNumberingAfterBreak="0">
    <w:nsid w:val="18B34D0F"/>
    <w:multiLevelType w:val="hybridMultilevel"/>
    <w:tmpl w:val="70CA7728"/>
    <w:lvl w:ilvl="0" w:tplc="D7D6A8D2">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D468117E">
      <w:start w:val="1"/>
      <w:numFmt w:val="lowerRoman"/>
      <w:lvlText w:val="(%2)"/>
      <w:lvlJc w:val="left"/>
      <w:pPr>
        <w:ind w:left="2012" w:hanging="589"/>
      </w:pPr>
      <w:rPr>
        <w:rFonts w:ascii="Arial MT" w:eastAsia="Arial MT" w:hAnsi="Arial MT" w:cs="Arial MT" w:hint="defaul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12"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4"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7D607C7"/>
    <w:multiLevelType w:val="hybridMultilevel"/>
    <w:tmpl w:val="CEFE907C"/>
    <w:lvl w:ilvl="0" w:tplc="DBE09D2A">
      <w:start w:val="1"/>
      <w:numFmt w:val="decimal"/>
      <w:lvlText w:val="%1."/>
      <w:lvlJc w:val="left"/>
      <w:pPr>
        <w:ind w:left="1440" w:hanging="36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6" w15:restartNumberingAfterBreak="0">
    <w:nsid w:val="28E35071"/>
    <w:multiLevelType w:val="hybridMultilevel"/>
    <w:tmpl w:val="7FA0B7DE"/>
    <w:lvl w:ilvl="0" w:tplc="3034862E">
      <w:start w:val="1"/>
      <w:numFmt w:val="lowerLetter"/>
      <w:lvlText w:val="%1."/>
      <w:lvlJc w:val="left"/>
      <w:pPr>
        <w:ind w:left="720" w:hanging="360"/>
      </w:pPr>
      <w:rPr>
        <w:rFonts w:ascii="Arial" w:eastAsiaTheme="minorHAnsi" w:hAnsi="Arial"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F1AF4"/>
    <w:multiLevelType w:val="hybridMultilevel"/>
    <w:tmpl w:val="E882849E"/>
    <w:lvl w:ilvl="0" w:tplc="4162A60C">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18"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9"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20"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1" w15:restartNumberingAfterBreak="0">
    <w:nsid w:val="3FB37EFE"/>
    <w:multiLevelType w:val="hybridMultilevel"/>
    <w:tmpl w:val="3F20192A"/>
    <w:lvl w:ilvl="0" w:tplc="88E2ED7C">
      <w:start w:val="1"/>
      <w:numFmt w:val="lowerLetter"/>
      <w:lvlText w:val="(%1)"/>
      <w:lvlJc w:val="left"/>
      <w:pPr>
        <w:ind w:left="720" w:hanging="360"/>
      </w:pPr>
      <w:rPr>
        <w:rFonts w:ascii="Arial" w:hAnsi="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0B93306"/>
    <w:multiLevelType w:val="hybridMultilevel"/>
    <w:tmpl w:val="F00A6644"/>
    <w:lvl w:ilvl="0" w:tplc="D468117E">
      <w:start w:val="1"/>
      <w:numFmt w:val="lowerRoman"/>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2643BA6"/>
    <w:multiLevelType w:val="hybridMultilevel"/>
    <w:tmpl w:val="B844BC68"/>
    <w:lvl w:ilvl="0" w:tplc="6CCE9DB4">
      <w:start w:val="1"/>
      <w:numFmt w:val="decimal"/>
      <w:lvlText w:val="Section %1."/>
      <w:lvlJc w:val="left"/>
      <w:pPr>
        <w:ind w:left="644" w:hanging="360"/>
      </w:pPr>
      <w:rPr>
        <w:rFonts w:hint="default"/>
        <w:b/>
        <w:bCs w:val="0"/>
      </w:rPr>
    </w:lvl>
    <w:lvl w:ilvl="1" w:tplc="5A3AD068">
      <w:start w:val="1"/>
      <w:numFmt w:val="lowerLetter"/>
      <w:lvlText w:val="(%2) "/>
      <w:lvlJc w:val="left"/>
      <w:pPr>
        <w:ind w:left="-1395" w:hanging="360"/>
      </w:pPr>
      <w:rPr>
        <w:rFonts w:hint="default"/>
        <w:b w:val="0"/>
      </w:rPr>
    </w:lvl>
    <w:lvl w:ilvl="2" w:tplc="3409001B" w:tentative="1">
      <w:start w:val="1"/>
      <w:numFmt w:val="lowerRoman"/>
      <w:lvlText w:val="%3."/>
      <w:lvlJc w:val="right"/>
      <w:pPr>
        <w:ind w:left="-675" w:hanging="180"/>
      </w:pPr>
    </w:lvl>
    <w:lvl w:ilvl="3" w:tplc="3409000F" w:tentative="1">
      <w:start w:val="1"/>
      <w:numFmt w:val="decimal"/>
      <w:lvlText w:val="%4."/>
      <w:lvlJc w:val="left"/>
      <w:pPr>
        <w:ind w:left="45" w:hanging="360"/>
      </w:pPr>
    </w:lvl>
    <w:lvl w:ilvl="4" w:tplc="34090019" w:tentative="1">
      <w:start w:val="1"/>
      <w:numFmt w:val="lowerLetter"/>
      <w:lvlText w:val="%5."/>
      <w:lvlJc w:val="left"/>
      <w:pPr>
        <w:ind w:left="765" w:hanging="360"/>
      </w:pPr>
    </w:lvl>
    <w:lvl w:ilvl="5" w:tplc="3409001B" w:tentative="1">
      <w:start w:val="1"/>
      <w:numFmt w:val="lowerRoman"/>
      <w:lvlText w:val="%6."/>
      <w:lvlJc w:val="right"/>
      <w:pPr>
        <w:ind w:left="1485" w:hanging="180"/>
      </w:pPr>
    </w:lvl>
    <w:lvl w:ilvl="6" w:tplc="3409000F" w:tentative="1">
      <w:start w:val="1"/>
      <w:numFmt w:val="decimal"/>
      <w:lvlText w:val="%7."/>
      <w:lvlJc w:val="left"/>
      <w:pPr>
        <w:ind w:left="2205" w:hanging="360"/>
      </w:pPr>
    </w:lvl>
    <w:lvl w:ilvl="7" w:tplc="34090019" w:tentative="1">
      <w:start w:val="1"/>
      <w:numFmt w:val="lowerLetter"/>
      <w:lvlText w:val="%8."/>
      <w:lvlJc w:val="left"/>
      <w:pPr>
        <w:ind w:left="2925" w:hanging="360"/>
      </w:pPr>
    </w:lvl>
    <w:lvl w:ilvl="8" w:tplc="3409001B" w:tentative="1">
      <w:start w:val="1"/>
      <w:numFmt w:val="lowerRoman"/>
      <w:lvlText w:val="%9."/>
      <w:lvlJc w:val="right"/>
      <w:pPr>
        <w:ind w:left="3645" w:hanging="180"/>
      </w:pPr>
    </w:lvl>
  </w:abstractNum>
  <w:abstractNum w:abstractNumId="24"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8435C"/>
    <w:multiLevelType w:val="hybridMultilevel"/>
    <w:tmpl w:val="B844BC68"/>
    <w:lvl w:ilvl="0" w:tplc="FFFFFFFF">
      <w:start w:val="1"/>
      <w:numFmt w:val="decimal"/>
      <w:lvlText w:val="Section %1."/>
      <w:lvlJc w:val="left"/>
      <w:pPr>
        <w:ind w:left="644" w:hanging="360"/>
      </w:pPr>
      <w:rPr>
        <w:rFonts w:hint="default"/>
        <w:b/>
        <w:bCs w:val="0"/>
      </w:rPr>
    </w:lvl>
    <w:lvl w:ilvl="1" w:tplc="FFFFFFFF">
      <w:start w:val="1"/>
      <w:numFmt w:val="lowerLetter"/>
      <w:lvlText w:val="(%2) "/>
      <w:lvlJc w:val="left"/>
      <w:pPr>
        <w:ind w:left="-1395" w:hanging="360"/>
      </w:pPr>
      <w:rPr>
        <w:rFonts w:hint="default"/>
        <w:b w:val="0"/>
      </w:rPr>
    </w:lvl>
    <w:lvl w:ilvl="2" w:tplc="FFFFFFFF" w:tentative="1">
      <w:start w:val="1"/>
      <w:numFmt w:val="lowerRoman"/>
      <w:lvlText w:val="%3."/>
      <w:lvlJc w:val="right"/>
      <w:pPr>
        <w:ind w:left="-675" w:hanging="180"/>
      </w:pPr>
    </w:lvl>
    <w:lvl w:ilvl="3" w:tplc="FFFFFFFF" w:tentative="1">
      <w:start w:val="1"/>
      <w:numFmt w:val="decimal"/>
      <w:lvlText w:val="%4."/>
      <w:lvlJc w:val="left"/>
      <w:pPr>
        <w:ind w:left="45" w:hanging="360"/>
      </w:pPr>
    </w:lvl>
    <w:lvl w:ilvl="4" w:tplc="FFFFFFFF" w:tentative="1">
      <w:start w:val="1"/>
      <w:numFmt w:val="lowerLetter"/>
      <w:lvlText w:val="%5."/>
      <w:lvlJc w:val="left"/>
      <w:pPr>
        <w:ind w:left="765" w:hanging="360"/>
      </w:pPr>
    </w:lvl>
    <w:lvl w:ilvl="5" w:tplc="FFFFFFFF" w:tentative="1">
      <w:start w:val="1"/>
      <w:numFmt w:val="lowerRoman"/>
      <w:lvlText w:val="%6."/>
      <w:lvlJc w:val="right"/>
      <w:pPr>
        <w:ind w:left="1485" w:hanging="180"/>
      </w:pPr>
    </w:lvl>
    <w:lvl w:ilvl="6" w:tplc="FFFFFFFF" w:tentative="1">
      <w:start w:val="1"/>
      <w:numFmt w:val="decimal"/>
      <w:lvlText w:val="%7."/>
      <w:lvlJc w:val="left"/>
      <w:pPr>
        <w:ind w:left="2205" w:hanging="360"/>
      </w:pPr>
    </w:lvl>
    <w:lvl w:ilvl="7" w:tplc="FFFFFFFF" w:tentative="1">
      <w:start w:val="1"/>
      <w:numFmt w:val="lowerLetter"/>
      <w:lvlText w:val="%8."/>
      <w:lvlJc w:val="left"/>
      <w:pPr>
        <w:ind w:left="2925" w:hanging="360"/>
      </w:pPr>
    </w:lvl>
    <w:lvl w:ilvl="8" w:tplc="FFFFFFFF" w:tentative="1">
      <w:start w:val="1"/>
      <w:numFmt w:val="lowerRoman"/>
      <w:lvlText w:val="%9."/>
      <w:lvlJc w:val="right"/>
      <w:pPr>
        <w:ind w:left="3645" w:hanging="180"/>
      </w:pPr>
    </w:lvl>
  </w:abstractNum>
  <w:abstractNum w:abstractNumId="27"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535538C0"/>
    <w:multiLevelType w:val="hybridMultilevel"/>
    <w:tmpl w:val="D1008D1E"/>
    <w:lvl w:ilvl="0" w:tplc="88E2ED7C">
      <w:start w:val="1"/>
      <w:numFmt w:val="lowerLetter"/>
      <w:lvlText w:val="(%1)"/>
      <w:lvlJc w:val="left"/>
      <w:pPr>
        <w:ind w:left="720" w:hanging="360"/>
      </w:pPr>
      <w:rPr>
        <w:rFonts w:ascii="Arial" w:hAnsi="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30"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E8444E5"/>
    <w:multiLevelType w:val="hybridMultilevel"/>
    <w:tmpl w:val="7624C95C"/>
    <w:lvl w:ilvl="0" w:tplc="E53023D6">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5D46BDD8">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32" w15:restartNumberingAfterBreak="0">
    <w:nsid w:val="601A0492"/>
    <w:multiLevelType w:val="hybridMultilevel"/>
    <w:tmpl w:val="9F0AC9E6"/>
    <w:lvl w:ilvl="0" w:tplc="199CD676">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33" w15:restartNumberingAfterBreak="0">
    <w:nsid w:val="63A74486"/>
    <w:multiLevelType w:val="hybridMultilevel"/>
    <w:tmpl w:val="8688B6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4FA104B"/>
    <w:multiLevelType w:val="hybridMultilevel"/>
    <w:tmpl w:val="AF5AA172"/>
    <w:lvl w:ilvl="0" w:tplc="34090019">
      <w:start w:val="1"/>
      <w:numFmt w:val="lowerLetter"/>
      <w:lvlText w:val="%1."/>
      <w:lvlJc w:val="left"/>
      <w:pPr>
        <w:ind w:left="720" w:hanging="360"/>
      </w:pPr>
      <w:rPr>
        <w:rFonts w:hint="default"/>
      </w:rPr>
    </w:lvl>
    <w:lvl w:ilvl="1" w:tplc="3409001B">
      <w:start w:val="1"/>
      <w:numFmt w:val="lowerRoman"/>
      <w:lvlText w:val="%2."/>
      <w:lvlJc w:val="righ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6"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37"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38"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9" w15:restartNumberingAfterBreak="0">
    <w:nsid w:val="7B6C2ED4"/>
    <w:multiLevelType w:val="hybridMultilevel"/>
    <w:tmpl w:val="8ECA5FEC"/>
    <w:lvl w:ilvl="0" w:tplc="744C155A">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abstractNum w:abstractNumId="40" w15:restartNumberingAfterBreak="0">
    <w:nsid w:val="7D173EF6"/>
    <w:multiLevelType w:val="hybridMultilevel"/>
    <w:tmpl w:val="7FA0B7DE"/>
    <w:lvl w:ilvl="0" w:tplc="FFFFFFFF">
      <w:start w:val="1"/>
      <w:numFmt w:val="lowerLetter"/>
      <w:lvlText w:val="%1."/>
      <w:lvlJc w:val="left"/>
      <w:pPr>
        <w:ind w:left="720" w:hanging="360"/>
      </w:pPr>
      <w:rPr>
        <w:rFonts w:ascii="Arial" w:eastAsiaTheme="minorHAnsi" w:hAnsi="Arial" w:cs="Arial"/>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751121">
    <w:abstractNumId w:val="37"/>
  </w:num>
  <w:num w:numId="2" w16cid:durableId="1409377145">
    <w:abstractNumId w:val="29"/>
  </w:num>
  <w:num w:numId="3" w16cid:durableId="1709797498">
    <w:abstractNumId w:val="20"/>
  </w:num>
  <w:num w:numId="4" w16cid:durableId="1058939451">
    <w:abstractNumId w:val="10"/>
  </w:num>
  <w:num w:numId="5" w16cid:durableId="159270763">
    <w:abstractNumId w:val="13"/>
  </w:num>
  <w:num w:numId="6" w16cid:durableId="2009939644">
    <w:abstractNumId w:val="1"/>
  </w:num>
  <w:num w:numId="7" w16cid:durableId="2025940443">
    <w:abstractNumId w:val="5"/>
  </w:num>
  <w:num w:numId="8" w16cid:durableId="1079326290">
    <w:abstractNumId w:val="12"/>
  </w:num>
  <w:num w:numId="9" w16cid:durableId="1256400940">
    <w:abstractNumId w:val="30"/>
  </w:num>
  <w:num w:numId="10" w16cid:durableId="1273629011">
    <w:abstractNumId w:val="24"/>
  </w:num>
  <w:num w:numId="11" w16cid:durableId="1542209372">
    <w:abstractNumId w:val="22"/>
  </w:num>
  <w:num w:numId="12" w16cid:durableId="41053420">
    <w:abstractNumId w:val="11"/>
  </w:num>
  <w:num w:numId="13" w16cid:durableId="455098656">
    <w:abstractNumId w:val="25"/>
  </w:num>
  <w:num w:numId="14" w16cid:durableId="627858828">
    <w:abstractNumId w:val="31"/>
  </w:num>
  <w:num w:numId="15" w16cid:durableId="1825124234">
    <w:abstractNumId w:val="32"/>
  </w:num>
  <w:num w:numId="16" w16cid:durableId="959649526">
    <w:abstractNumId w:val="27"/>
  </w:num>
  <w:num w:numId="17" w16cid:durableId="544411089">
    <w:abstractNumId w:val="14"/>
  </w:num>
  <w:num w:numId="18" w16cid:durableId="1338507322">
    <w:abstractNumId w:val="36"/>
  </w:num>
  <w:num w:numId="19" w16cid:durableId="1936553317">
    <w:abstractNumId w:val="35"/>
  </w:num>
  <w:num w:numId="20" w16cid:durableId="16736487">
    <w:abstractNumId w:val="19"/>
  </w:num>
  <w:num w:numId="21" w16cid:durableId="2012485156">
    <w:abstractNumId w:val="6"/>
  </w:num>
  <w:num w:numId="22" w16cid:durableId="1450927929">
    <w:abstractNumId w:val="4"/>
  </w:num>
  <w:num w:numId="23" w16cid:durableId="1794326489">
    <w:abstractNumId w:val="9"/>
  </w:num>
  <w:num w:numId="24" w16cid:durableId="1226255842">
    <w:abstractNumId w:val="7"/>
  </w:num>
  <w:num w:numId="25" w16cid:durableId="481241405">
    <w:abstractNumId w:val="38"/>
  </w:num>
  <w:num w:numId="26" w16cid:durableId="1088382830">
    <w:abstractNumId w:val="39"/>
  </w:num>
  <w:num w:numId="27" w16cid:durableId="1091120781">
    <w:abstractNumId w:val="3"/>
  </w:num>
  <w:num w:numId="28" w16cid:durableId="764882055">
    <w:abstractNumId w:val="17"/>
  </w:num>
  <w:num w:numId="29" w16cid:durableId="1214778977">
    <w:abstractNumId w:val="18"/>
  </w:num>
  <w:num w:numId="30" w16cid:durableId="2065447246">
    <w:abstractNumId w:val="33"/>
  </w:num>
  <w:num w:numId="31" w16cid:durableId="249700045">
    <w:abstractNumId w:val="16"/>
  </w:num>
  <w:num w:numId="32" w16cid:durableId="1583251252">
    <w:abstractNumId w:val="40"/>
  </w:num>
  <w:num w:numId="33" w16cid:durableId="411006537">
    <w:abstractNumId w:val="34"/>
  </w:num>
  <w:num w:numId="34" w16cid:durableId="2104836638">
    <w:abstractNumId w:val="0"/>
  </w:num>
  <w:num w:numId="35" w16cid:durableId="1225486044">
    <w:abstractNumId w:val="8"/>
  </w:num>
  <w:num w:numId="36" w16cid:durableId="981424351">
    <w:abstractNumId w:val="23"/>
  </w:num>
  <w:num w:numId="37" w16cid:durableId="1060980204">
    <w:abstractNumId w:val="21"/>
  </w:num>
  <w:num w:numId="38" w16cid:durableId="848568627">
    <w:abstractNumId w:val="28"/>
  </w:num>
  <w:num w:numId="39" w16cid:durableId="1869564604">
    <w:abstractNumId w:val="26"/>
  </w:num>
  <w:num w:numId="40" w16cid:durableId="1678775139">
    <w:abstractNumId w:val="2"/>
  </w:num>
  <w:num w:numId="41" w16cid:durableId="3100595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qQUAmwaPSSwAAAA="/>
  </w:docVars>
  <w:rsids>
    <w:rsidRoot w:val="00040EFE"/>
    <w:rsid w:val="000266E5"/>
    <w:rsid w:val="00030B66"/>
    <w:rsid w:val="00034822"/>
    <w:rsid w:val="000350DF"/>
    <w:rsid w:val="000368A5"/>
    <w:rsid w:val="00040A04"/>
    <w:rsid w:val="00040EFE"/>
    <w:rsid w:val="00055761"/>
    <w:rsid w:val="000705C4"/>
    <w:rsid w:val="000756A5"/>
    <w:rsid w:val="00080A05"/>
    <w:rsid w:val="00090524"/>
    <w:rsid w:val="00091AAB"/>
    <w:rsid w:val="00097ABB"/>
    <w:rsid w:val="000B0A57"/>
    <w:rsid w:val="000B11B0"/>
    <w:rsid w:val="000B201E"/>
    <w:rsid w:val="000B24B6"/>
    <w:rsid w:val="000C2E6A"/>
    <w:rsid w:val="000C3A93"/>
    <w:rsid w:val="000D2456"/>
    <w:rsid w:val="00106247"/>
    <w:rsid w:val="00106D78"/>
    <w:rsid w:val="00123448"/>
    <w:rsid w:val="00135204"/>
    <w:rsid w:val="001414BB"/>
    <w:rsid w:val="001568F1"/>
    <w:rsid w:val="00156AA3"/>
    <w:rsid w:val="0017533E"/>
    <w:rsid w:val="0017540F"/>
    <w:rsid w:val="00195C99"/>
    <w:rsid w:val="00196E4D"/>
    <w:rsid w:val="001A3E22"/>
    <w:rsid w:val="001B1080"/>
    <w:rsid w:val="001D58A6"/>
    <w:rsid w:val="001F1D2A"/>
    <w:rsid w:val="0021487B"/>
    <w:rsid w:val="00225424"/>
    <w:rsid w:val="00240866"/>
    <w:rsid w:val="00262E7B"/>
    <w:rsid w:val="0026772D"/>
    <w:rsid w:val="0028128B"/>
    <w:rsid w:val="002817B4"/>
    <w:rsid w:val="00284B77"/>
    <w:rsid w:val="002962B0"/>
    <w:rsid w:val="002A081A"/>
    <w:rsid w:val="002A180F"/>
    <w:rsid w:val="002A7E83"/>
    <w:rsid w:val="002C491C"/>
    <w:rsid w:val="00303B72"/>
    <w:rsid w:val="00335FC6"/>
    <w:rsid w:val="00347C81"/>
    <w:rsid w:val="0035078F"/>
    <w:rsid w:val="003557F9"/>
    <w:rsid w:val="00355FB6"/>
    <w:rsid w:val="0037264A"/>
    <w:rsid w:val="0038500F"/>
    <w:rsid w:val="00395B3F"/>
    <w:rsid w:val="003B4841"/>
    <w:rsid w:val="003D3447"/>
    <w:rsid w:val="003D58D1"/>
    <w:rsid w:val="003E3602"/>
    <w:rsid w:val="004145C7"/>
    <w:rsid w:val="00425FB3"/>
    <w:rsid w:val="00437717"/>
    <w:rsid w:val="00440A26"/>
    <w:rsid w:val="00444643"/>
    <w:rsid w:val="004612C6"/>
    <w:rsid w:val="00463D66"/>
    <w:rsid w:val="00482F60"/>
    <w:rsid w:val="00485E5B"/>
    <w:rsid w:val="0048667F"/>
    <w:rsid w:val="00486ED1"/>
    <w:rsid w:val="0049227D"/>
    <w:rsid w:val="00497C4C"/>
    <w:rsid w:val="004A4D23"/>
    <w:rsid w:val="004B03C8"/>
    <w:rsid w:val="004B491A"/>
    <w:rsid w:val="004B5A76"/>
    <w:rsid w:val="004D5F4D"/>
    <w:rsid w:val="004E20A5"/>
    <w:rsid w:val="004E34F2"/>
    <w:rsid w:val="004F7E99"/>
    <w:rsid w:val="00505814"/>
    <w:rsid w:val="005139B3"/>
    <w:rsid w:val="00513A08"/>
    <w:rsid w:val="00542BF4"/>
    <w:rsid w:val="005539D4"/>
    <w:rsid w:val="0055665A"/>
    <w:rsid w:val="0057034B"/>
    <w:rsid w:val="00570B77"/>
    <w:rsid w:val="00577526"/>
    <w:rsid w:val="00592098"/>
    <w:rsid w:val="00592D51"/>
    <w:rsid w:val="00592EC4"/>
    <w:rsid w:val="005A2D06"/>
    <w:rsid w:val="005B1484"/>
    <w:rsid w:val="005C19D2"/>
    <w:rsid w:val="005C50A4"/>
    <w:rsid w:val="005C590D"/>
    <w:rsid w:val="0060080B"/>
    <w:rsid w:val="00612931"/>
    <w:rsid w:val="006203AF"/>
    <w:rsid w:val="00627EA4"/>
    <w:rsid w:val="00652618"/>
    <w:rsid w:val="00656632"/>
    <w:rsid w:val="0067432A"/>
    <w:rsid w:val="0068058F"/>
    <w:rsid w:val="00681002"/>
    <w:rsid w:val="006812E7"/>
    <w:rsid w:val="00691B8D"/>
    <w:rsid w:val="006B4DF9"/>
    <w:rsid w:val="006C6215"/>
    <w:rsid w:val="006E2DF8"/>
    <w:rsid w:val="00700870"/>
    <w:rsid w:val="00706315"/>
    <w:rsid w:val="00713372"/>
    <w:rsid w:val="0071449D"/>
    <w:rsid w:val="00721BF9"/>
    <w:rsid w:val="00722C44"/>
    <w:rsid w:val="00731893"/>
    <w:rsid w:val="00752654"/>
    <w:rsid w:val="007633D2"/>
    <w:rsid w:val="0077471A"/>
    <w:rsid w:val="00795511"/>
    <w:rsid w:val="007B3274"/>
    <w:rsid w:val="007B380D"/>
    <w:rsid w:val="007B4304"/>
    <w:rsid w:val="007B52BB"/>
    <w:rsid w:val="007C7093"/>
    <w:rsid w:val="007E1920"/>
    <w:rsid w:val="007E7274"/>
    <w:rsid w:val="007F44AE"/>
    <w:rsid w:val="0082769D"/>
    <w:rsid w:val="00846957"/>
    <w:rsid w:val="00853AE6"/>
    <w:rsid w:val="0088176E"/>
    <w:rsid w:val="00882060"/>
    <w:rsid w:val="00885075"/>
    <w:rsid w:val="0089500E"/>
    <w:rsid w:val="00895728"/>
    <w:rsid w:val="008A2655"/>
    <w:rsid w:val="008C10E1"/>
    <w:rsid w:val="008D49BC"/>
    <w:rsid w:val="008E3468"/>
    <w:rsid w:val="008F428F"/>
    <w:rsid w:val="008F71A6"/>
    <w:rsid w:val="00901B79"/>
    <w:rsid w:val="00904A5C"/>
    <w:rsid w:val="00916033"/>
    <w:rsid w:val="009A2FF7"/>
    <w:rsid w:val="009A4D4A"/>
    <w:rsid w:val="009C28B6"/>
    <w:rsid w:val="009C672B"/>
    <w:rsid w:val="009D41CC"/>
    <w:rsid w:val="009E602F"/>
    <w:rsid w:val="00A00060"/>
    <w:rsid w:val="00A0690E"/>
    <w:rsid w:val="00A402F9"/>
    <w:rsid w:val="00A43952"/>
    <w:rsid w:val="00A51781"/>
    <w:rsid w:val="00A7712F"/>
    <w:rsid w:val="00A83989"/>
    <w:rsid w:val="00AA7278"/>
    <w:rsid w:val="00AB0D45"/>
    <w:rsid w:val="00AC0FE1"/>
    <w:rsid w:val="00AC3D87"/>
    <w:rsid w:val="00AE3E5E"/>
    <w:rsid w:val="00AF2A87"/>
    <w:rsid w:val="00AF408F"/>
    <w:rsid w:val="00AF4F00"/>
    <w:rsid w:val="00AF65F8"/>
    <w:rsid w:val="00B1782D"/>
    <w:rsid w:val="00B26EF3"/>
    <w:rsid w:val="00B2792F"/>
    <w:rsid w:val="00B3388C"/>
    <w:rsid w:val="00B33A35"/>
    <w:rsid w:val="00B34739"/>
    <w:rsid w:val="00B44C6F"/>
    <w:rsid w:val="00B473B2"/>
    <w:rsid w:val="00B87C7E"/>
    <w:rsid w:val="00B90D04"/>
    <w:rsid w:val="00B95ED8"/>
    <w:rsid w:val="00BB275B"/>
    <w:rsid w:val="00BC18C3"/>
    <w:rsid w:val="00BC4BE4"/>
    <w:rsid w:val="00BE4101"/>
    <w:rsid w:val="00BF4385"/>
    <w:rsid w:val="00BF7729"/>
    <w:rsid w:val="00C001D6"/>
    <w:rsid w:val="00C11930"/>
    <w:rsid w:val="00C16AEB"/>
    <w:rsid w:val="00C2674A"/>
    <w:rsid w:val="00C4141D"/>
    <w:rsid w:val="00C56B86"/>
    <w:rsid w:val="00C615CA"/>
    <w:rsid w:val="00C658C4"/>
    <w:rsid w:val="00C7019D"/>
    <w:rsid w:val="00C75C43"/>
    <w:rsid w:val="00C919A3"/>
    <w:rsid w:val="00C93F9A"/>
    <w:rsid w:val="00CA58D6"/>
    <w:rsid w:val="00CC5D79"/>
    <w:rsid w:val="00CE4CAD"/>
    <w:rsid w:val="00CE7118"/>
    <w:rsid w:val="00CE7996"/>
    <w:rsid w:val="00CF04D9"/>
    <w:rsid w:val="00CF0C2E"/>
    <w:rsid w:val="00D15783"/>
    <w:rsid w:val="00D17DF4"/>
    <w:rsid w:val="00D4301D"/>
    <w:rsid w:val="00D4600F"/>
    <w:rsid w:val="00D523DE"/>
    <w:rsid w:val="00D632FF"/>
    <w:rsid w:val="00D643EB"/>
    <w:rsid w:val="00DA0275"/>
    <w:rsid w:val="00DA3E9E"/>
    <w:rsid w:val="00DA462D"/>
    <w:rsid w:val="00DA74C1"/>
    <w:rsid w:val="00DA79B5"/>
    <w:rsid w:val="00DB2F91"/>
    <w:rsid w:val="00DD2345"/>
    <w:rsid w:val="00DE6416"/>
    <w:rsid w:val="00E019C8"/>
    <w:rsid w:val="00E07D4E"/>
    <w:rsid w:val="00E14EA7"/>
    <w:rsid w:val="00E26D01"/>
    <w:rsid w:val="00E6735A"/>
    <w:rsid w:val="00E82BD3"/>
    <w:rsid w:val="00E841EF"/>
    <w:rsid w:val="00E85B0B"/>
    <w:rsid w:val="00E95390"/>
    <w:rsid w:val="00EA05AF"/>
    <w:rsid w:val="00EA0A0D"/>
    <w:rsid w:val="00EA15DD"/>
    <w:rsid w:val="00EA2BDF"/>
    <w:rsid w:val="00EB64F5"/>
    <w:rsid w:val="00EB7C94"/>
    <w:rsid w:val="00EF257C"/>
    <w:rsid w:val="00EF2EA1"/>
    <w:rsid w:val="00F13199"/>
    <w:rsid w:val="00F17867"/>
    <w:rsid w:val="00F477CF"/>
    <w:rsid w:val="00F47A8E"/>
    <w:rsid w:val="00F51740"/>
    <w:rsid w:val="00F549C2"/>
    <w:rsid w:val="00F661C8"/>
    <w:rsid w:val="00F745F7"/>
    <w:rsid w:val="00F74FB0"/>
    <w:rsid w:val="00F806E3"/>
    <w:rsid w:val="00FA216E"/>
    <w:rsid w:val="00FB0F8A"/>
    <w:rsid w:val="00FC5C53"/>
    <w:rsid w:val="00FD06E1"/>
    <w:rsid w:val="00FD111F"/>
    <w:rsid w:val="00FD2CC0"/>
    <w:rsid w:val="2343F0E5"/>
    <w:rsid w:val="48E269B9"/>
    <w:rsid w:val="79F9D52C"/>
    <w:rsid w:val="7DB4BA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AD"/>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uiPriority w:val="34"/>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character" w:styleId="CommentReference">
    <w:name w:val="annotation reference"/>
    <w:basedOn w:val="DefaultParagraphFont"/>
    <w:uiPriority w:val="99"/>
    <w:semiHidden/>
    <w:unhideWhenUsed/>
    <w:rsid w:val="00C001D6"/>
    <w:rPr>
      <w:sz w:val="16"/>
      <w:szCs w:val="16"/>
    </w:rPr>
  </w:style>
  <w:style w:type="paragraph" w:styleId="CommentText">
    <w:name w:val="annotation text"/>
    <w:basedOn w:val="Normal"/>
    <w:link w:val="CommentTextChar"/>
    <w:uiPriority w:val="99"/>
    <w:unhideWhenUsed/>
    <w:rsid w:val="00C001D6"/>
    <w:pPr>
      <w:spacing w:line="240" w:lineRule="auto"/>
    </w:pPr>
    <w:rPr>
      <w:sz w:val="20"/>
      <w:szCs w:val="20"/>
    </w:rPr>
  </w:style>
  <w:style w:type="character" w:customStyle="1" w:styleId="CommentTextChar">
    <w:name w:val="Comment Text Char"/>
    <w:basedOn w:val="DefaultParagraphFont"/>
    <w:link w:val="CommentText"/>
    <w:uiPriority w:val="99"/>
    <w:rsid w:val="00C001D6"/>
    <w:rPr>
      <w:sz w:val="20"/>
      <w:szCs w:val="20"/>
    </w:rPr>
  </w:style>
  <w:style w:type="character" w:styleId="Hyperlink">
    <w:name w:val="Hyperlink"/>
    <w:basedOn w:val="DefaultParagraphFont"/>
    <w:uiPriority w:val="99"/>
    <w:unhideWhenUsed/>
    <w:rsid w:val="00090524"/>
    <w:rPr>
      <w:color w:val="0563C1" w:themeColor="hyperlink"/>
      <w:u w:val="single"/>
    </w:rPr>
  </w:style>
  <w:style w:type="paragraph" w:styleId="NormalWeb">
    <w:name w:val="Normal (Web)"/>
    <w:basedOn w:val="Normal"/>
    <w:uiPriority w:val="99"/>
    <w:unhideWhenUsed/>
    <w:rsid w:val="003E36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6353bc8-26f6-44ff-b86f-47b0bee36b47" xsi:nil="true"/>
    <lcf76f155ced4ddcb4097134ff3c332f xmlns="0315049f-08c8-4bed-80a2-46a2923689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19C2545AACDF4EBFFFFA3E6D34DBAB" ma:contentTypeVersion="15" ma:contentTypeDescription="Create a new document." ma:contentTypeScope="" ma:versionID="b1012017274153b8a5dae96c9717835c">
  <xsd:schema xmlns:xsd="http://www.w3.org/2001/XMLSchema" xmlns:xs="http://www.w3.org/2001/XMLSchema" xmlns:p="http://schemas.microsoft.com/office/2006/metadata/properties" xmlns:ns2="0315049f-08c8-4bed-80a2-46a2923689e2" xmlns:ns3="86353bc8-26f6-44ff-b86f-47b0bee36b47" targetNamespace="http://schemas.microsoft.com/office/2006/metadata/properties" ma:root="true" ma:fieldsID="7d2d5cb323e624eeb33473bf1885b174" ns2:_="" ns3:_="">
    <xsd:import namespace="0315049f-08c8-4bed-80a2-46a2923689e2"/>
    <xsd:import namespace="86353bc8-26f6-44ff-b86f-47b0bee36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049f-08c8-4bed-80a2-46a29236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3bc8-26f6-44ff-b86f-47b0bee36b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45d578-ee6e-4d56-a017-78980445383a}" ma:internalName="TaxCatchAll" ma:showField="CatchAllData" ma:web="86353bc8-26f6-44ff-b86f-47b0bee36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7182C-3C22-4B89-8D3C-7BAD285E07A0}">
  <ds:schemaRefs>
    <ds:schemaRef ds:uri="http://schemas.openxmlformats.org/officeDocument/2006/bibliography"/>
  </ds:schemaRefs>
</ds:datastoreItem>
</file>

<file path=customXml/itemProps2.xml><?xml version="1.0" encoding="utf-8"?>
<ds:datastoreItem xmlns:ds="http://schemas.openxmlformats.org/officeDocument/2006/customXml" ds:itemID="{8C22F6B2-60D3-4191-9046-72A258A75229}">
  <ds:schemaRefs>
    <ds:schemaRef ds:uri="http://schemas.microsoft.com/office/2006/metadata/properties"/>
    <ds:schemaRef ds:uri="http://schemas.microsoft.com/office/infopath/2007/PartnerControls"/>
    <ds:schemaRef ds:uri="86353bc8-26f6-44ff-b86f-47b0bee36b47"/>
    <ds:schemaRef ds:uri="0315049f-08c8-4bed-80a2-46a2923689e2"/>
  </ds:schemaRefs>
</ds:datastoreItem>
</file>

<file path=customXml/itemProps3.xml><?xml version="1.0" encoding="utf-8"?>
<ds:datastoreItem xmlns:ds="http://schemas.openxmlformats.org/officeDocument/2006/customXml" ds:itemID="{5C0D55DE-4E68-43F5-B7B7-ED80A904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049f-08c8-4bed-80a2-46a2923689e2"/>
    <ds:schemaRef ds:uri="86353bc8-26f6-44ff-b86f-47b0bee36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D853A-4970-408C-ABA7-BEC28B01E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2500</Words>
  <Characters>14253</Characters>
  <Application>Microsoft Office Word</Application>
  <DocSecurity>0</DocSecurity>
  <Lines>118</Lines>
  <Paragraphs>33</Paragraphs>
  <ScaleCrop>false</ScaleCrop>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Tristan Jan A. Seraspi</cp:lastModifiedBy>
  <cp:revision>79</cp:revision>
  <dcterms:created xsi:type="dcterms:W3CDTF">2024-02-13T10:52:00Z</dcterms:created>
  <dcterms:modified xsi:type="dcterms:W3CDTF">2024-07-12T05:48:00Z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0x0101006B19C2545AACDF4EBFFFFA3E6D34DBAB</vt:lpwstr>
  </property>
  <property fmtid="{D5CDD505-2E9C-101B-9397-08002B2CF9AE}" pid="3" name="MediaServiceImageTags">
    <vt:lpwstr/>
  </property>
</Properties>
</file>