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044"/>
        <w:gridCol w:w="3590"/>
        <w:gridCol w:w="4267"/>
      </w:tblGrid>
      <w:tr w:rsidR="00106F31" w:rsidRPr="00D51AE5" w14:paraId="0E0EEC0E" w14:textId="77777777" w:rsidTr="007639A7">
        <w:tc>
          <w:tcPr>
            <w:tcW w:w="6044" w:type="dxa"/>
          </w:tcPr>
          <w:p w14:paraId="3A2E68BB" w14:textId="77777777" w:rsidR="00106F31" w:rsidRPr="00D51AE5" w:rsidRDefault="00106F31" w:rsidP="000F3600">
            <w:pPr>
              <w:jc w:val="center"/>
              <w:rPr>
                <w:rFonts w:ascii="Arial" w:hAnsi="Arial" w:cs="Arial"/>
                <w:b/>
                <w:bCs/>
              </w:rPr>
            </w:pPr>
          </w:p>
        </w:tc>
        <w:tc>
          <w:tcPr>
            <w:tcW w:w="3590" w:type="dxa"/>
          </w:tcPr>
          <w:p w14:paraId="2174A06F" w14:textId="77777777" w:rsidR="00106F31" w:rsidRPr="00D51AE5" w:rsidRDefault="00106F31" w:rsidP="000F3600">
            <w:pPr>
              <w:jc w:val="center"/>
              <w:rPr>
                <w:rFonts w:ascii="Arial" w:hAnsi="Arial" w:cs="Arial"/>
                <w:b/>
                <w:bCs/>
              </w:rPr>
            </w:pPr>
          </w:p>
        </w:tc>
        <w:tc>
          <w:tcPr>
            <w:tcW w:w="4267" w:type="dxa"/>
          </w:tcPr>
          <w:p w14:paraId="123B7547" w14:textId="77777777" w:rsidR="00106F31" w:rsidRPr="00D51AE5" w:rsidRDefault="00106F31" w:rsidP="000F3600">
            <w:pPr>
              <w:jc w:val="center"/>
              <w:rPr>
                <w:rFonts w:ascii="Arial" w:hAnsi="Arial" w:cs="Arial"/>
                <w:b/>
                <w:bCs/>
              </w:rPr>
            </w:pPr>
          </w:p>
        </w:tc>
      </w:tr>
      <w:tr w:rsidR="00CF520D" w:rsidRPr="00D51AE5" w14:paraId="792FEBA3" w14:textId="415DAFA8" w:rsidTr="007639A7">
        <w:tc>
          <w:tcPr>
            <w:tcW w:w="6044" w:type="dxa"/>
          </w:tcPr>
          <w:p w14:paraId="609CC49F" w14:textId="77777777" w:rsidR="00CF520D" w:rsidRPr="00D51AE5" w:rsidRDefault="00CF520D" w:rsidP="000F3600">
            <w:pPr>
              <w:jc w:val="center"/>
              <w:rPr>
                <w:rFonts w:ascii="Arial" w:hAnsi="Arial" w:cs="Arial"/>
                <w:b/>
                <w:bCs/>
              </w:rPr>
            </w:pPr>
            <w:r w:rsidRPr="00D51AE5">
              <w:rPr>
                <w:rFonts w:ascii="Arial" w:hAnsi="Arial" w:cs="Arial"/>
                <w:b/>
                <w:bCs/>
              </w:rPr>
              <w:t>AMENDMENT TO DEPARTMENT CIRCULAR NO. DC2019-10-0013</w:t>
            </w:r>
          </w:p>
        </w:tc>
        <w:tc>
          <w:tcPr>
            <w:tcW w:w="3590" w:type="dxa"/>
          </w:tcPr>
          <w:p w14:paraId="0C2C180B" w14:textId="77777777" w:rsidR="00CF520D" w:rsidRPr="00D51AE5" w:rsidRDefault="00CF520D" w:rsidP="000F3600">
            <w:pPr>
              <w:jc w:val="center"/>
              <w:rPr>
                <w:rFonts w:ascii="Arial" w:hAnsi="Arial" w:cs="Arial"/>
                <w:b/>
                <w:bCs/>
              </w:rPr>
            </w:pPr>
          </w:p>
        </w:tc>
        <w:tc>
          <w:tcPr>
            <w:tcW w:w="4267" w:type="dxa"/>
          </w:tcPr>
          <w:p w14:paraId="42288797" w14:textId="77777777" w:rsidR="00CF520D" w:rsidRPr="00D51AE5" w:rsidRDefault="00CF520D" w:rsidP="000F3600">
            <w:pPr>
              <w:jc w:val="center"/>
              <w:rPr>
                <w:rFonts w:ascii="Arial" w:hAnsi="Arial" w:cs="Arial"/>
                <w:b/>
                <w:bCs/>
              </w:rPr>
            </w:pPr>
          </w:p>
        </w:tc>
      </w:tr>
      <w:tr w:rsidR="00CF520D" w:rsidRPr="00D51AE5" w14:paraId="3CA12EDF" w14:textId="7B3F037A" w:rsidTr="007639A7">
        <w:tc>
          <w:tcPr>
            <w:tcW w:w="6044" w:type="dxa"/>
          </w:tcPr>
          <w:p w14:paraId="003CEEC8" w14:textId="77777777" w:rsidR="00CF520D" w:rsidRPr="00D51AE5" w:rsidRDefault="00CF520D" w:rsidP="000F3600">
            <w:pPr>
              <w:jc w:val="both"/>
              <w:rPr>
                <w:rFonts w:ascii="Arial" w:hAnsi="Arial" w:cs="Arial"/>
              </w:rPr>
            </w:pPr>
            <w:r w:rsidRPr="00D51AE5">
              <w:rPr>
                <w:rFonts w:ascii="Arial" w:hAnsi="Arial" w:cs="Arial"/>
                <w:b/>
              </w:rPr>
              <w:t xml:space="preserve">WHEREAS, </w:t>
            </w:r>
            <w:r w:rsidRPr="00D51AE5">
              <w:rPr>
                <w:rFonts w:ascii="Arial" w:hAnsi="Arial" w:cs="Arial"/>
              </w:rPr>
              <w:t>pursuant to Section 2, Article XII, of the 1987 Philippine Constitution, all forces of potential energy and other natural resources within the Philippine territory belong to the State and their exploration, development and utilization shall be under the full control of the State;</w:t>
            </w:r>
          </w:p>
        </w:tc>
        <w:tc>
          <w:tcPr>
            <w:tcW w:w="3590" w:type="dxa"/>
          </w:tcPr>
          <w:p w14:paraId="7C51484E" w14:textId="77777777" w:rsidR="00CF520D" w:rsidRPr="00D51AE5" w:rsidRDefault="00CF520D" w:rsidP="000F3600">
            <w:pPr>
              <w:jc w:val="both"/>
              <w:rPr>
                <w:rFonts w:ascii="Arial" w:hAnsi="Arial" w:cs="Arial"/>
                <w:b/>
              </w:rPr>
            </w:pPr>
          </w:p>
        </w:tc>
        <w:tc>
          <w:tcPr>
            <w:tcW w:w="4267" w:type="dxa"/>
          </w:tcPr>
          <w:p w14:paraId="3B7560B9" w14:textId="77777777" w:rsidR="00CF520D" w:rsidRPr="00D51AE5" w:rsidRDefault="00CF520D" w:rsidP="000F3600">
            <w:pPr>
              <w:jc w:val="both"/>
              <w:rPr>
                <w:rFonts w:ascii="Arial" w:hAnsi="Arial" w:cs="Arial"/>
                <w:b/>
              </w:rPr>
            </w:pPr>
          </w:p>
        </w:tc>
      </w:tr>
      <w:tr w:rsidR="00CF520D" w:rsidRPr="00D51AE5" w14:paraId="42ABD35E" w14:textId="5896365A" w:rsidTr="007639A7">
        <w:tc>
          <w:tcPr>
            <w:tcW w:w="6044" w:type="dxa"/>
          </w:tcPr>
          <w:p w14:paraId="0E8FEE0B" w14:textId="77777777" w:rsidR="00CF520D" w:rsidRPr="00D51AE5" w:rsidRDefault="00CF520D" w:rsidP="000F3600">
            <w:pPr>
              <w:jc w:val="both"/>
              <w:rPr>
                <w:rFonts w:ascii="Arial" w:hAnsi="Arial" w:cs="Arial"/>
              </w:rPr>
            </w:pPr>
            <w:r w:rsidRPr="00D51AE5">
              <w:rPr>
                <w:rFonts w:ascii="Arial" w:hAnsi="Arial" w:cs="Arial"/>
                <w:b/>
              </w:rPr>
              <w:t xml:space="preserve">WHEREAS, </w:t>
            </w:r>
            <w:r w:rsidRPr="00D51AE5">
              <w:rPr>
                <w:rFonts w:ascii="Arial" w:hAnsi="Arial" w:cs="Arial"/>
              </w:rPr>
              <w:t xml:space="preserve">under Section 2 of Republic Act (RA) No. 7638, as amended, otherwise known as the </w:t>
            </w:r>
            <w:r w:rsidRPr="00D51AE5">
              <w:rPr>
                <w:rFonts w:ascii="Arial" w:hAnsi="Arial" w:cs="Arial"/>
                <w:i/>
              </w:rPr>
              <w:t xml:space="preserve">“Department of Energy Act of 1992”, </w:t>
            </w:r>
            <w:r w:rsidRPr="00D51AE5">
              <w:rPr>
                <w:rFonts w:ascii="Arial" w:hAnsi="Arial" w:cs="Arial"/>
              </w:rPr>
              <w:t>the Department of Energy (DOE) is mandated to prepare, integrate, coordinate, supervise and control all plans, programs, projects and activities of the Government relative to energy exploration, development, utilization, distribution and conservation, among others;</w:t>
            </w:r>
          </w:p>
        </w:tc>
        <w:tc>
          <w:tcPr>
            <w:tcW w:w="3590" w:type="dxa"/>
          </w:tcPr>
          <w:p w14:paraId="45D93872" w14:textId="77777777" w:rsidR="00CF520D" w:rsidRPr="00D51AE5" w:rsidRDefault="00CF520D" w:rsidP="000F3600">
            <w:pPr>
              <w:jc w:val="both"/>
              <w:rPr>
                <w:rFonts w:ascii="Arial" w:hAnsi="Arial" w:cs="Arial"/>
                <w:b/>
              </w:rPr>
            </w:pPr>
          </w:p>
        </w:tc>
        <w:tc>
          <w:tcPr>
            <w:tcW w:w="4267" w:type="dxa"/>
          </w:tcPr>
          <w:p w14:paraId="15AFFB48" w14:textId="77777777" w:rsidR="00CF520D" w:rsidRPr="00D51AE5" w:rsidRDefault="00CF520D" w:rsidP="000F3600">
            <w:pPr>
              <w:jc w:val="both"/>
              <w:rPr>
                <w:rFonts w:ascii="Arial" w:hAnsi="Arial" w:cs="Arial"/>
                <w:b/>
              </w:rPr>
            </w:pPr>
          </w:p>
        </w:tc>
      </w:tr>
      <w:tr w:rsidR="00CF520D" w:rsidRPr="00D51AE5" w14:paraId="157B4A32" w14:textId="5B673C86" w:rsidTr="007639A7">
        <w:tc>
          <w:tcPr>
            <w:tcW w:w="6044" w:type="dxa"/>
          </w:tcPr>
          <w:p w14:paraId="54D89FE7" w14:textId="77777777" w:rsidR="00CF520D" w:rsidRPr="00D51AE5" w:rsidRDefault="00CF520D" w:rsidP="000F3600">
            <w:pPr>
              <w:jc w:val="both"/>
              <w:rPr>
                <w:rFonts w:ascii="Arial" w:hAnsi="Arial" w:cs="Arial"/>
              </w:rPr>
            </w:pPr>
            <w:r w:rsidRPr="00D51AE5">
              <w:rPr>
                <w:rFonts w:ascii="Arial" w:hAnsi="Arial" w:cs="Arial"/>
                <w:b/>
              </w:rPr>
              <w:t xml:space="preserve">WHEREAS, </w:t>
            </w:r>
            <w:r w:rsidRPr="00D51AE5">
              <w:rPr>
                <w:rFonts w:ascii="Arial" w:hAnsi="Arial" w:cs="Arial"/>
              </w:rPr>
              <w:t>Section</w:t>
            </w:r>
            <w:r w:rsidRPr="00D51AE5">
              <w:rPr>
                <w:rFonts w:ascii="Arial" w:hAnsi="Arial" w:cs="Arial"/>
                <w:spacing w:val="-2"/>
              </w:rPr>
              <w:t xml:space="preserve"> </w:t>
            </w:r>
            <w:r w:rsidRPr="00D51AE5">
              <w:rPr>
                <w:rFonts w:ascii="Arial" w:hAnsi="Arial" w:cs="Arial"/>
              </w:rPr>
              <w:t>5(b) of the</w:t>
            </w:r>
            <w:r w:rsidRPr="00D51AE5">
              <w:rPr>
                <w:rFonts w:ascii="Arial" w:hAnsi="Arial" w:cs="Arial"/>
                <w:spacing w:val="-2"/>
              </w:rPr>
              <w:t xml:space="preserve"> </w:t>
            </w:r>
            <w:r w:rsidRPr="00D51AE5">
              <w:rPr>
                <w:rFonts w:ascii="Arial" w:hAnsi="Arial" w:cs="Arial"/>
              </w:rPr>
              <w:t>same</w:t>
            </w:r>
            <w:r w:rsidRPr="00D51AE5">
              <w:rPr>
                <w:rFonts w:ascii="Arial" w:hAnsi="Arial" w:cs="Arial"/>
                <w:spacing w:val="-2"/>
              </w:rPr>
              <w:t xml:space="preserve"> </w:t>
            </w:r>
            <w:r w:rsidRPr="00D51AE5">
              <w:rPr>
                <w:rFonts w:ascii="Arial" w:hAnsi="Arial" w:cs="Arial"/>
              </w:rPr>
              <w:t>Act empowers the</w:t>
            </w:r>
            <w:r w:rsidRPr="00D51AE5">
              <w:rPr>
                <w:rFonts w:ascii="Arial" w:hAnsi="Arial" w:cs="Arial"/>
                <w:spacing w:val="-2"/>
              </w:rPr>
              <w:t xml:space="preserve"> </w:t>
            </w:r>
            <w:r w:rsidRPr="00D51AE5">
              <w:rPr>
                <w:rFonts w:ascii="Arial" w:hAnsi="Arial" w:cs="Arial"/>
              </w:rPr>
              <w:t>DOE to</w:t>
            </w:r>
            <w:r w:rsidRPr="00D51AE5">
              <w:rPr>
                <w:rFonts w:ascii="Arial" w:hAnsi="Arial" w:cs="Arial"/>
                <w:spacing w:val="-2"/>
              </w:rPr>
              <w:t xml:space="preserve"> </w:t>
            </w:r>
            <w:r w:rsidRPr="00D51AE5">
              <w:rPr>
                <w:rFonts w:ascii="Arial" w:hAnsi="Arial" w:cs="Arial"/>
              </w:rPr>
              <w:t>develop</w:t>
            </w:r>
            <w:r w:rsidRPr="00D51AE5">
              <w:rPr>
                <w:rFonts w:ascii="Arial" w:hAnsi="Arial" w:cs="Arial"/>
                <w:spacing w:val="-2"/>
              </w:rPr>
              <w:t xml:space="preserve"> </w:t>
            </w:r>
            <w:r w:rsidRPr="00D51AE5">
              <w:rPr>
                <w:rFonts w:ascii="Arial" w:hAnsi="Arial" w:cs="Arial"/>
              </w:rPr>
              <w:t>and update the existing Philippine energy program which shall provide for an integrated and comprehensive exploration, development, utilization, distribution and conservation of energy resources, with preferential bias for environment-friendly, indigenous, and low-cost sources of energy, and which program shall include a policy direction towards the privatization of government agencies related to energy, deregulation of the power and energy industry and reduction of dependency on oil-fired plants;</w:t>
            </w:r>
          </w:p>
        </w:tc>
        <w:tc>
          <w:tcPr>
            <w:tcW w:w="3590" w:type="dxa"/>
          </w:tcPr>
          <w:p w14:paraId="1F18FA8C" w14:textId="77777777" w:rsidR="00CF520D" w:rsidRPr="00D51AE5" w:rsidRDefault="00CF520D" w:rsidP="000F3600">
            <w:pPr>
              <w:jc w:val="both"/>
              <w:rPr>
                <w:rFonts w:ascii="Arial" w:hAnsi="Arial" w:cs="Arial"/>
                <w:b/>
              </w:rPr>
            </w:pPr>
          </w:p>
        </w:tc>
        <w:tc>
          <w:tcPr>
            <w:tcW w:w="4267" w:type="dxa"/>
          </w:tcPr>
          <w:p w14:paraId="2289C8C2" w14:textId="77777777" w:rsidR="00CF520D" w:rsidRPr="00D51AE5" w:rsidRDefault="00CF520D" w:rsidP="000F3600">
            <w:pPr>
              <w:jc w:val="both"/>
              <w:rPr>
                <w:rFonts w:ascii="Arial" w:hAnsi="Arial" w:cs="Arial"/>
                <w:b/>
              </w:rPr>
            </w:pPr>
          </w:p>
        </w:tc>
      </w:tr>
      <w:tr w:rsidR="00CF520D" w:rsidRPr="00D51AE5" w14:paraId="0B5E1EAD" w14:textId="06D84EBA" w:rsidTr="007639A7">
        <w:tc>
          <w:tcPr>
            <w:tcW w:w="6044" w:type="dxa"/>
          </w:tcPr>
          <w:p w14:paraId="35DA1B82" w14:textId="77777777" w:rsidR="00CF520D" w:rsidRPr="00D51AE5" w:rsidRDefault="00CF520D" w:rsidP="000F3600">
            <w:pPr>
              <w:pStyle w:val="BodyText"/>
              <w:contextualSpacing/>
              <w:jc w:val="both"/>
            </w:pPr>
            <w:r w:rsidRPr="00D51AE5">
              <w:rPr>
                <w:b/>
              </w:rPr>
              <w:t xml:space="preserve">WHEREAS, </w:t>
            </w:r>
            <w:r w:rsidRPr="00D51AE5">
              <w:t xml:space="preserve">Section 2 of RA No. 9136, otherwise known as the </w:t>
            </w:r>
            <w:r w:rsidRPr="00D51AE5">
              <w:rPr>
                <w:i/>
              </w:rPr>
              <w:t xml:space="preserve">“Electric Power Industry Reform Act of </w:t>
            </w:r>
            <w:r w:rsidRPr="00D51AE5">
              <w:rPr>
                <w:i/>
              </w:rPr>
              <w:lastRenderedPageBreak/>
              <w:t xml:space="preserve">2001” </w:t>
            </w:r>
            <w:r w:rsidRPr="00D51AE5">
              <w:t xml:space="preserve">or </w:t>
            </w:r>
            <w:r w:rsidRPr="00D51AE5">
              <w:rPr>
                <w:i/>
              </w:rPr>
              <w:t xml:space="preserve">“EPIRA”, </w:t>
            </w:r>
            <w:r w:rsidRPr="00D51AE5">
              <w:t>declares that it is the policy of the State to, among others, (</w:t>
            </w:r>
            <w:proofErr w:type="spellStart"/>
            <w:r w:rsidRPr="00D51AE5">
              <w:t>i</w:t>
            </w:r>
            <w:proofErr w:type="spellEnd"/>
            <w:r w:rsidRPr="00D51AE5">
              <w:t>) ensure and accelerate the total electrification of the country; (ii) enhance the inflow of private capital and broaden the ownership base of the power generation, transmission and distribution sectors; (iii) assure socially and environmentally compatible energy sources and infrastructure; and (iv) promote the utilization of indigenous and new and renewable energy resources in power generation in order to reduce dependence on imported energy;</w:t>
            </w:r>
          </w:p>
        </w:tc>
        <w:tc>
          <w:tcPr>
            <w:tcW w:w="3590" w:type="dxa"/>
          </w:tcPr>
          <w:p w14:paraId="2A0E9697" w14:textId="77777777" w:rsidR="00CF520D" w:rsidRPr="00D51AE5" w:rsidRDefault="00CF520D" w:rsidP="000F3600">
            <w:pPr>
              <w:pStyle w:val="BodyText"/>
              <w:contextualSpacing/>
              <w:jc w:val="both"/>
              <w:rPr>
                <w:b/>
              </w:rPr>
            </w:pPr>
          </w:p>
        </w:tc>
        <w:tc>
          <w:tcPr>
            <w:tcW w:w="4267" w:type="dxa"/>
          </w:tcPr>
          <w:p w14:paraId="3350F064" w14:textId="77777777" w:rsidR="00CF520D" w:rsidRPr="00D51AE5" w:rsidRDefault="00CF520D" w:rsidP="000F3600">
            <w:pPr>
              <w:pStyle w:val="BodyText"/>
              <w:contextualSpacing/>
              <w:jc w:val="both"/>
              <w:rPr>
                <w:b/>
              </w:rPr>
            </w:pPr>
          </w:p>
        </w:tc>
      </w:tr>
      <w:tr w:rsidR="00CF520D" w:rsidRPr="00D51AE5" w14:paraId="0E160503" w14:textId="299513AC" w:rsidTr="007639A7">
        <w:tc>
          <w:tcPr>
            <w:tcW w:w="6044" w:type="dxa"/>
          </w:tcPr>
          <w:p w14:paraId="33BDA956" w14:textId="77777777" w:rsidR="00CF520D" w:rsidRPr="00D51AE5" w:rsidRDefault="00CF520D" w:rsidP="000F3600">
            <w:pPr>
              <w:tabs>
                <w:tab w:val="left" w:pos="1230"/>
              </w:tabs>
              <w:jc w:val="both"/>
              <w:rPr>
                <w:rFonts w:ascii="Arial" w:hAnsi="Arial" w:cs="Arial"/>
              </w:rPr>
            </w:pPr>
            <w:r w:rsidRPr="00D51AE5">
              <w:rPr>
                <w:rFonts w:ascii="Arial" w:hAnsi="Arial" w:cs="Arial"/>
                <w:b/>
              </w:rPr>
              <w:t xml:space="preserve">WHEREAS, </w:t>
            </w:r>
            <w:r w:rsidRPr="00D51AE5">
              <w:rPr>
                <w:rFonts w:ascii="Arial" w:hAnsi="Arial" w:cs="Arial"/>
              </w:rPr>
              <w:t xml:space="preserve">Joint Administrative Order (JAO) No. 2008-1, Series of 2008, otherwise known as the </w:t>
            </w:r>
            <w:r w:rsidRPr="00D51AE5">
              <w:rPr>
                <w:rFonts w:ascii="Arial" w:hAnsi="Arial" w:cs="Arial"/>
                <w:i/>
              </w:rPr>
              <w:t>“Guidelines Governing the Biofuel Feedstocks Production, and</w:t>
            </w:r>
            <w:r w:rsidRPr="00D51AE5">
              <w:rPr>
                <w:rFonts w:ascii="Arial" w:hAnsi="Arial" w:cs="Arial"/>
                <w:i/>
                <w:spacing w:val="80"/>
              </w:rPr>
              <w:t xml:space="preserve"> </w:t>
            </w:r>
            <w:r w:rsidRPr="00D51AE5">
              <w:rPr>
                <w:rFonts w:ascii="Arial" w:hAnsi="Arial" w:cs="Arial"/>
                <w:i/>
              </w:rPr>
              <w:t xml:space="preserve">Biofuels and Biofuel Blends Production, Distribution and Sale”, </w:t>
            </w:r>
            <w:r w:rsidRPr="00D51AE5">
              <w:rPr>
                <w:rFonts w:ascii="Arial" w:hAnsi="Arial" w:cs="Arial"/>
              </w:rPr>
              <w:t xml:space="preserve">provides for the accreditation of biofuel producers, among others, under RA No. 9367, otherwise known as the </w:t>
            </w:r>
            <w:r w:rsidRPr="00D51AE5">
              <w:rPr>
                <w:rFonts w:ascii="Arial" w:hAnsi="Arial" w:cs="Arial"/>
                <w:i/>
              </w:rPr>
              <w:t>“Biofuels Act of 2006”</w:t>
            </w:r>
            <w:r w:rsidRPr="00D51AE5">
              <w:rPr>
                <w:rFonts w:ascii="Arial" w:hAnsi="Arial" w:cs="Arial"/>
              </w:rPr>
              <w:t>;</w:t>
            </w:r>
          </w:p>
        </w:tc>
        <w:tc>
          <w:tcPr>
            <w:tcW w:w="3590" w:type="dxa"/>
          </w:tcPr>
          <w:p w14:paraId="0FDAA650" w14:textId="77777777" w:rsidR="00CF520D" w:rsidRPr="00D51AE5" w:rsidRDefault="00CF520D" w:rsidP="000F3600">
            <w:pPr>
              <w:tabs>
                <w:tab w:val="left" w:pos="1230"/>
              </w:tabs>
              <w:jc w:val="both"/>
              <w:rPr>
                <w:rFonts w:ascii="Arial" w:hAnsi="Arial" w:cs="Arial"/>
                <w:b/>
              </w:rPr>
            </w:pPr>
          </w:p>
        </w:tc>
        <w:tc>
          <w:tcPr>
            <w:tcW w:w="4267" w:type="dxa"/>
          </w:tcPr>
          <w:p w14:paraId="57207830" w14:textId="77777777" w:rsidR="00CF520D" w:rsidRPr="00D51AE5" w:rsidRDefault="00CF520D" w:rsidP="000F3600">
            <w:pPr>
              <w:tabs>
                <w:tab w:val="left" w:pos="1230"/>
              </w:tabs>
              <w:jc w:val="both"/>
              <w:rPr>
                <w:rFonts w:ascii="Arial" w:hAnsi="Arial" w:cs="Arial"/>
                <w:b/>
              </w:rPr>
            </w:pPr>
          </w:p>
        </w:tc>
      </w:tr>
      <w:tr w:rsidR="00CF520D" w:rsidRPr="00D51AE5" w14:paraId="705152C8" w14:textId="46BA6F43" w:rsidTr="007639A7">
        <w:tc>
          <w:tcPr>
            <w:tcW w:w="6044" w:type="dxa"/>
          </w:tcPr>
          <w:p w14:paraId="7DCB037A" w14:textId="77777777" w:rsidR="00CF520D" w:rsidRPr="00D51AE5" w:rsidRDefault="00CF520D" w:rsidP="000F3600">
            <w:pPr>
              <w:tabs>
                <w:tab w:val="left" w:pos="1230"/>
              </w:tabs>
              <w:jc w:val="both"/>
              <w:rPr>
                <w:rFonts w:ascii="Arial" w:hAnsi="Arial" w:cs="Arial"/>
              </w:rPr>
            </w:pPr>
            <w:r w:rsidRPr="00D51AE5">
              <w:rPr>
                <w:rFonts w:ascii="Arial" w:hAnsi="Arial" w:cs="Arial"/>
                <w:b/>
              </w:rPr>
              <w:t xml:space="preserve">WHEREAS, </w:t>
            </w:r>
            <w:r w:rsidRPr="00D51AE5">
              <w:rPr>
                <w:rFonts w:ascii="Arial" w:hAnsi="Arial" w:cs="Arial"/>
              </w:rPr>
              <w:t xml:space="preserve">Section 2 of RA No. 9513, otherwise known as the </w:t>
            </w:r>
            <w:r w:rsidRPr="00D51AE5">
              <w:rPr>
                <w:rFonts w:ascii="Arial" w:hAnsi="Arial" w:cs="Arial"/>
                <w:i/>
              </w:rPr>
              <w:t xml:space="preserve">“Renewable Energy Act of 2008” </w:t>
            </w:r>
            <w:r w:rsidRPr="00D51AE5">
              <w:rPr>
                <w:rFonts w:ascii="Arial" w:hAnsi="Arial" w:cs="Arial"/>
              </w:rPr>
              <w:t xml:space="preserve">or </w:t>
            </w:r>
            <w:r w:rsidRPr="00D51AE5">
              <w:rPr>
                <w:rFonts w:ascii="Arial" w:hAnsi="Arial" w:cs="Arial"/>
                <w:i/>
              </w:rPr>
              <w:t xml:space="preserve">“RE Act”, </w:t>
            </w:r>
            <w:r w:rsidRPr="00D51AE5">
              <w:rPr>
                <w:rFonts w:ascii="Arial" w:hAnsi="Arial" w:cs="Arial"/>
              </w:rPr>
              <w:t>directs the State to encourage and accelerate the exploration, development and utilization of renewable energy (RE) resources such as, but not limited to, biomass, solar, wind, hydropower, geothermal, and ocean energy sources, and including hybrid systems;</w:t>
            </w:r>
          </w:p>
        </w:tc>
        <w:tc>
          <w:tcPr>
            <w:tcW w:w="3590" w:type="dxa"/>
          </w:tcPr>
          <w:p w14:paraId="45E1A3A0" w14:textId="77777777" w:rsidR="00CF520D" w:rsidRPr="00D51AE5" w:rsidRDefault="00CF520D" w:rsidP="000F3600">
            <w:pPr>
              <w:tabs>
                <w:tab w:val="left" w:pos="1230"/>
              </w:tabs>
              <w:jc w:val="both"/>
              <w:rPr>
                <w:rFonts w:ascii="Arial" w:hAnsi="Arial" w:cs="Arial"/>
                <w:b/>
              </w:rPr>
            </w:pPr>
          </w:p>
        </w:tc>
        <w:tc>
          <w:tcPr>
            <w:tcW w:w="4267" w:type="dxa"/>
          </w:tcPr>
          <w:p w14:paraId="794B3DEB" w14:textId="77777777" w:rsidR="00CF520D" w:rsidRPr="00D51AE5" w:rsidRDefault="00CF520D" w:rsidP="000F3600">
            <w:pPr>
              <w:tabs>
                <w:tab w:val="left" w:pos="1230"/>
              </w:tabs>
              <w:jc w:val="both"/>
              <w:rPr>
                <w:rFonts w:ascii="Arial" w:hAnsi="Arial" w:cs="Arial"/>
                <w:b/>
              </w:rPr>
            </w:pPr>
          </w:p>
        </w:tc>
      </w:tr>
      <w:tr w:rsidR="00CF520D" w:rsidRPr="00D51AE5" w14:paraId="4179099E" w14:textId="437F71BF" w:rsidTr="007639A7">
        <w:tc>
          <w:tcPr>
            <w:tcW w:w="6044" w:type="dxa"/>
          </w:tcPr>
          <w:p w14:paraId="7AE1BF69" w14:textId="77777777" w:rsidR="00CF520D" w:rsidRPr="00D51AE5" w:rsidRDefault="00CF520D" w:rsidP="000F3600">
            <w:pPr>
              <w:tabs>
                <w:tab w:val="left" w:pos="1230"/>
              </w:tabs>
              <w:jc w:val="both"/>
              <w:rPr>
                <w:rFonts w:ascii="Arial" w:hAnsi="Arial" w:cs="Arial"/>
              </w:rPr>
            </w:pPr>
            <w:r w:rsidRPr="00D51AE5">
              <w:rPr>
                <w:rFonts w:ascii="Arial" w:hAnsi="Arial" w:cs="Arial"/>
                <w:b/>
              </w:rPr>
              <w:t xml:space="preserve">WHEREAS, </w:t>
            </w:r>
            <w:r w:rsidRPr="00D51AE5">
              <w:rPr>
                <w:rFonts w:ascii="Arial" w:hAnsi="Arial" w:cs="Arial"/>
              </w:rPr>
              <w:t>Section 19(c), Rule 6 of Department Circular (DC) No. DC2009-05-0008 which prescribes the Implementing Rules and Regulations (IRR) of the RE Act, requires the DOE</w:t>
            </w:r>
            <w:r w:rsidRPr="00D51AE5">
              <w:rPr>
                <w:rFonts w:ascii="Arial" w:hAnsi="Arial" w:cs="Arial"/>
                <w:spacing w:val="-1"/>
              </w:rPr>
              <w:t xml:space="preserve"> </w:t>
            </w:r>
            <w:r w:rsidRPr="00D51AE5">
              <w:rPr>
                <w:rFonts w:ascii="Arial" w:hAnsi="Arial" w:cs="Arial"/>
              </w:rPr>
              <w:t>to</w:t>
            </w:r>
            <w:r w:rsidRPr="00D51AE5">
              <w:rPr>
                <w:rFonts w:ascii="Arial" w:hAnsi="Arial" w:cs="Arial"/>
                <w:spacing w:val="-3"/>
              </w:rPr>
              <w:t xml:space="preserve"> </w:t>
            </w:r>
            <w:r w:rsidRPr="00D51AE5">
              <w:rPr>
                <w:rFonts w:ascii="Arial" w:hAnsi="Arial" w:cs="Arial"/>
              </w:rPr>
              <w:t>issue</w:t>
            </w:r>
            <w:r w:rsidRPr="00D51AE5">
              <w:rPr>
                <w:rFonts w:ascii="Arial" w:hAnsi="Arial" w:cs="Arial"/>
                <w:spacing w:val="-3"/>
              </w:rPr>
              <w:t xml:space="preserve"> </w:t>
            </w:r>
            <w:r w:rsidRPr="00D51AE5">
              <w:rPr>
                <w:rFonts w:ascii="Arial" w:hAnsi="Arial" w:cs="Arial"/>
              </w:rPr>
              <w:t>a</w:t>
            </w:r>
            <w:r w:rsidRPr="00D51AE5">
              <w:rPr>
                <w:rFonts w:ascii="Arial" w:hAnsi="Arial" w:cs="Arial"/>
                <w:spacing w:val="-3"/>
              </w:rPr>
              <w:t xml:space="preserve"> </w:t>
            </w:r>
            <w:r w:rsidRPr="00D51AE5">
              <w:rPr>
                <w:rFonts w:ascii="Arial" w:hAnsi="Arial" w:cs="Arial"/>
              </w:rPr>
              <w:t>regulatory framework</w:t>
            </w:r>
            <w:r w:rsidRPr="00D51AE5">
              <w:rPr>
                <w:rFonts w:ascii="Arial" w:hAnsi="Arial" w:cs="Arial"/>
                <w:spacing w:val="-1"/>
              </w:rPr>
              <w:t xml:space="preserve"> </w:t>
            </w:r>
            <w:r w:rsidRPr="00D51AE5">
              <w:rPr>
                <w:rFonts w:ascii="Arial" w:hAnsi="Arial" w:cs="Arial"/>
              </w:rPr>
              <w:t>containing</w:t>
            </w:r>
            <w:r w:rsidRPr="00D51AE5">
              <w:rPr>
                <w:rFonts w:ascii="Arial" w:hAnsi="Arial" w:cs="Arial"/>
                <w:spacing w:val="-3"/>
              </w:rPr>
              <w:t xml:space="preserve"> </w:t>
            </w:r>
            <w:r w:rsidRPr="00D51AE5">
              <w:rPr>
                <w:rFonts w:ascii="Arial" w:hAnsi="Arial" w:cs="Arial"/>
              </w:rPr>
              <w:t>the guidelines</w:t>
            </w:r>
            <w:r w:rsidRPr="00D51AE5">
              <w:rPr>
                <w:rFonts w:ascii="Arial" w:hAnsi="Arial" w:cs="Arial"/>
                <w:spacing w:val="-1"/>
              </w:rPr>
              <w:t xml:space="preserve"> </w:t>
            </w:r>
            <w:r w:rsidRPr="00D51AE5">
              <w:rPr>
                <w:rFonts w:ascii="Arial" w:hAnsi="Arial" w:cs="Arial"/>
              </w:rPr>
              <w:t xml:space="preserve">that shall govern the transparent and competitive system of awarding RE </w:t>
            </w:r>
            <w:r w:rsidRPr="00D51AE5">
              <w:rPr>
                <w:rFonts w:ascii="Arial" w:hAnsi="Arial" w:cs="Arial"/>
              </w:rPr>
              <w:lastRenderedPageBreak/>
              <w:t>Service/Operating Contracts from Pre-Development to Development onto Commercial Operations stage, or the awarding of direct operating contracts to specific RE technologies, among others;</w:t>
            </w:r>
          </w:p>
        </w:tc>
        <w:tc>
          <w:tcPr>
            <w:tcW w:w="3590" w:type="dxa"/>
          </w:tcPr>
          <w:p w14:paraId="6D449FEA" w14:textId="77777777" w:rsidR="00CF520D" w:rsidRPr="00D51AE5" w:rsidRDefault="00CF520D" w:rsidP="000F3600">
            <w:pPr>
              <w:tabs>
                <w:tab w:val="left" w:pos="1230"/>
              </w:tabs>
              <w:jc w:val="both"/>
              <w:rPr>
                <w:rFonts w:ascii="Arial" w:hAnsi="Arial" w:cs="Arial"/>
                <w:b/>
              </w:rPr>
            </w:pPr>
          </w:p>
        </w:tc>
        <w:tc>
          <w:tcPr>
            <w:tcW w:w="4267" w:type="dxa"/>
          </w:tcPr>
          <w:p w14:paraId="0B3B949E" w14:textId="77777777" w:rsidR="00CF520D" w:rsidRPr="00D51AE5" w:rsidRDefault="00CF520D" w:rsidP="000F3600">
            <w:pPr>
              <w:tabs>
                <w:tab w:val="left" w:pos="1230"/>
              </w:tabs>
              <w:jc w:val="both"/>
              <w:rPr>
                <w:rFonts w:ascii="Arial" w:hAnsi="Arial" w:cs="Arial"/>
                <w:b/>
              </w:rPr>
            </w:pPr>
          </w:p>
        </w:tc>
      </w:tr>
      <w:tr w:rsidR="00CF520D" w:rsidRPr="00D51AE5" w14:paraId="5EB8CA54" w14:textId="623E51AA" w:rsidTr="007639A7">
        <w:tc>
          <w:tcPr>
            <w:tcW w:w="6044" w:type="dxa"/>
          </w:tcPr>
          <w:p w14:paraId="5B72D095" w14:textId="77777777" w:rsidR="00CF520D" w:rsidRPr="00D51AE5" w:rsidRDefault="00CF520D" w:rsidP="000F3600">
            <w:pPr>
              <w:tabs>
                <w:tab w:val="left" w:pos="1230"/>
              </w:tabs>
              <w:jc w:val="both"/>
              <w:rPr>
                <w:rFonts w:ascii="Arial" w:hAnsi="Arial" w:cs="Arial"/>
              </w:rPr>
            </w:pPr>
            <w:r w:rsidRPr="00D51AE5">
              <w:rPr>
                <w:rFonts w:ascii="Arial" w:hAnsi="Arial" w:cs="Arial"/>
                <w:b/>
              </w:rPr>
              <w:t xml:space="preserve">WHEREAS, </w:t>
            </w:r>
            <w:r w:rsidRPr="00D51AE5">
              <w:rPr>
                <w:rFonts w:ascii="Arial" w:hAnsi="Arial" w:cs="Arial"/>
              </w:rPr>
              <w:t xml:space="preserve">under Section 2 of RA No. 11032, otherwise known as the </w:t>
            </w:r>
            <w:r w:rsidRPr="00D51AE5">
              <w:rPr>
                <w:rFonts w:ascii="Arial" w:hAnsi="Arial" w:cs="Arial"/>
                <w:i/>
              </w:rPr>
              <w:t>“Ease of Doing</w:t>
            </w:r>
            <w:r w:rsidRPr="00D51AE5">
              <w:rPr>
                <w:rFonts w:ascii="Arial" w:hAnsi="Arial" w:cs="Arial"/>
                <w:i/>
                <w:spacing w:val="-5"/>
              </w:rPr>
              <w:t xml:space="preserve"> </w:t>
            </w:r>
            <w:r w:rsidRPr="00D51AE5">
              <w:rPr>
                <w:rFonts w:ascii="Arial" w:hAnsi="Arial" w:cs="Arial"/>
                <w:i/>
              </w:rPr>
              <w:t>Business</w:t>
            </w:r>
            <w:r w:rsidRPr="00D51AE5">
              <w:rPr>
                <w:rFonts w:ascii="Arial" w:hAnsi="Arial" w:cs="Arial"/>
                <w:i/>
                <w:spacing w:val="-3"/>
              </w:rPr>
              <w:t xml:space="preserve"> </w:t>
            </w:r>
            <w:r w:rsidRPr="00D51AE5">
              <w:rPr>
                <w:rFonts w:ascii="Arial" w:hAnsi="Arial" w:cs="Arial"/>
                <w:i/>
              </w:rPr>
              <w:t>and</w:t>
            </w:r>
            <w:r w:rsidRPr="00D51AE5">
              <w:rPr>
                <w:rFonts w:ascii="Arial" w:hAnsi="Arial" w:cs="Arial"/>
                <w:i/>
                <w:spacing w:val="-5"/>
              </w:rPr>
              <w:t xml:space="preserve"> </w:t>
            </w:r>
            <w:r w:rsidRPr="00D51AE5">
              <w:rPr>
                <w:rFonts w:ascii="Arial" w:hAnsi="Arial" w:cs="Arial"/>
                <w:i/>
              </w:rPr>
              <w:t>Efficient</w:t>
            </w:r>
            <w:r w:rsidRPr="00D51AE5">
              <w:rPr>
                <w:rFonts w:ascii="Arial" w:hAnsi="Arial" w:cs="Arial"/>
                <w:i/>
                <w:spacing w:val="-2"/>
              </w:rPr>
              <w:t xml:space="preserve"> </w:t>
            </w:r>
            <w:r w:rsidRPr="00D51AE5">
              <w:rPr>
                <w:rFonts w:ascii="Arial" w:hAnsi="Arial" w:cs="Arial"/>
                <w:i/>
              </w:rPr>
              <w:t>Government</w:t>
            </w:r>
            <w:r w:rsidRPr="00D51AE5">
              <w:rPr>
                <w:rFonts w:ascii="Arial" w:hAnsi="Arial" w:cs="Arial"/>
                <w:i/>
                <w:spacing w:val="-2"/>
              </w:rPr>
              <w:t xml:space="preserve"> </w:t>
            </w:r>
            <w:r w:rsidRPr="00D51AE5">
              <w:rPr>
                <w:rFonts w:ascii="Arial" w:hAnsi="Arial" w:cs="Arial"/>
                <w:i/>
              </w:rPr>
              <w:t>Service</w:t>
            </w:r>
            <w:r w:rsidRPr="00D51AE5">
              <w:rPr>
                <w:rFonts w:ascii="Arial" w:hAnsi="Arial" w:cs="Arial"/>
                <w:i/>
                <w:spacing w:val="-5"/>
              </w:rPr>
              <w:t xml:space="preserve"> </w:t>
            </w:r>
            <w:r w:rsidRPr="00D51AE5">
              <w:rPr>
                <w:rFonts w:ascii="Arial" w:hAnsi="Arial" w:cs="Arial"/>
                <w:i/>
              </w:rPr>
              <w:t>Delivery</w:t>
            </w:r>
            <w:r w:rsidRPr="00D51AE5">
              <w:rPr>
                <w:rFonts w:ascii="Arial" w:hAnsi="Arial" w:cs="Arial"/>
                <w:i/>
                <w:spacing w:val="-3"/>
              </w:rPr>
              <w:t xml:space="preserve"> </w:t>
            </w:r>
            <w:r w:rsidRPr="00D51AE5">
              <w:rPr>
                <w:rFonts w:ascii="Arial" w:hAnsi="Arial" w:cs="Arial"/>
                <w:i/>
              </w:rPr>
              <w:t>Act</w:t>
            </w:r>
            <w:r w:rsidRPr="00D51AE5">
              <w:rPr>
                <w:rFonts w:ascii="Arial" w:hAnsi="Arial" w:cs="Arial"/>
                <w:i/>
                <w:spacing w:val="-3"/>
              </w:rPr>
              <w:t xml:space="preserve"> </w:t>
            </w:r>
            <w:r w:rsidRPr="00D51AE5">
              <w:rPr>
                <w:rFonts w:ascii="Arial" w:hAnsi="Arial" w:cs="Arial"/>
                <w:i/>
              </w:rPr>
              <w:t>of</w:t>
            </w:r>
            <w:r w:rsidRPr="00D51AE5">
              <w:rPr>
                <w:rFonts w:ascii="Arial" w:hAnsi="Arial" w:cs="Arial"/>
                <w:i/>
                <w:spacing w:val="-2"/>
              </w:rPr>
              <w:t xml:space="preserve"> </w:t>
            </w:r>
            <w:r w:rsidRPr="00D51AE5">
              <w:rPr>
                <w:rFonts w:ascii="Arial" w:hAnsi="Arial" w:cs="Arial"/>
                <w:i/>
              </w:rPr>
              <w:t xml:space="preserve">2018”, </w:t>
            </w:r>
            <w:r w:rsidRPr="00D51AE5">
              <w:rPr>
                <w:rFonts w:ascii="Arial" w:hAnsi="Arial" w:cs="Arial"/>
              </w:rPr>
              <w:t>it</w:t>
            </w:r>
            <w:r w:rsidRPr="00D51AE5">
              <w:rPr>
                <w:rFonts w:ascii="Arial" w:hAnsi="Arial" w:cs="Arial"/>
                <w:spacing w:val="-2"/>
              </w:rPr>
              <w:t xml:space="preserve"> </w:t>
            </w:r>
            <w:r w:rsidRPr="00D51AE5">
              <w:rPr>
                <w:rFonts w:ascii="Arial" w:hAnsi="Arial" w:cs="Arial"/>
              </w:rPr>
              <w:t>is</w:t>
            </w:r>
            <w:r w:rsidRPr="00D51AE5">
              <w:rPr>
                <w:rFonts w:ascii="Arial" w:hAnsi="Arial" w:cs="Arial"/>
                <w:spacing w:val="-3"/>
              </w:rPr>
              <w:t xml:space="preserve"> </w:t>
            </w:r>
            <w:r w:rsidRPr="00D51AE5">
              <w:rPr>
                <w:rFonts w:ascii="Arial" w:hAnsi="Arial" w:cs="Arial"/>
              </w:rPr>
              <w:t>the</w:t>
            </w:r>
            <w:r w:rsidRPr="00D51AE5">
              <w:rPr>
                <w:rFonts w:ascii="Arial" w:hAnsi="Arial" w:cs="Arial"/>
                <w:spacing w:val="-4"/>
              </w:rPr>
              <w:t xml:space="preserve"> </w:t>
            </w:r>
            <w:r w:rsidRPr="00D51AE5">
              <w:rPr>
                <w:rFonts w:ascii="Arial" w:hAnsi="Arial" w:cs="Arial"/>
              </w:rPr>
              <w:t>duty of the State to, among others, promote integrity, accountability, proper management of public affairs and public property, aimed at efficient turnaround of the delivery of government services and the prevention of graft and corruption in government;</w:t>
            </w:r>
          </w:p>
        </w:tc>
        <w:tc>
          <w:tcPr>
            <w:tcW w:w="3590" w:type="dxa"/>
          </w:tcPr>
          <w:p w14:paraId="4BA2FDD6" w14:textId="77777777" w:rsidR="00CF520D" w:rsidRPr="00D51AE5" w:rsidRDefault="00CF520D" w:rsidP="000F3600">
            <w:pPr>
              <w:tabs>
                <w:tab w:val="left" w:pos="1230"/>
              </w:tabs>
              <w:jc w:val="both"/>
              <w:rPr>
                <w:rFonts w:ascii="Arial" w:hAnsi="Arial" w:cs="Arial"/>
                <w:b/>
              </w:rPr>
            </w:pPr>
          </w:p>
        </w:tc>
        <w:tc>
          <w:tcPr>
            <w:tcW w:w="4267" w:type="dxa"/>
          </w:tcPr>
          <w:p w14:paraId="0BCFC0E6" w14:textId="77777777" w:rsidR="00CF520D" w:rsidRPr="00D51AE5" w:rsidRDefault="00CF520D" w:rsidP="000F3600">
            <w:pPr>
              <w:tabs>
                <w:tab w:val="left" w:pos="1230"/>
              </w:tabs>
              <w:jc w:val="both"/>
              <w:rPr>
                <w:rFonts w:ascii="Arial" w:hAnsi="Arial" w:cs="Arial"/>
                <w:b/>
              </w:rPr>
            </w:pPr>
          </w:p>
        </w:tc>
      </w:tr>
      <w:tr w:rsidR="00CF520D" w:rsidRPr="00D51AE5" w14:paraId="408C0C8D" w14:textId="56FFC766" w:rsidTr="007639A7">
        <w:tc>
          <w:tcPr>
            <w:tcW w:w="6044" w:type="dxa"/>
          </w:tcPr>
          <w:p w14:paraId="7236EF6D" w14:textId="77777777" w:rsidR="00CF520D" w:rsidRPr="00D51AE5" w:rsidRDefault="00CF520D" w:rsidP="000F3600">
            <w:pPr>
              <w:tabs>
                <w:tab w:val="left" w:pos="1230"/>
              </w:tabs>
              <w:jc w:val="both"/>
              <w:rPr>
                <w:rFonts w:ascii="Arial" w:hAnsi="Arial" w:cs="Arial"/>
              </w:rPr>
            </w:pPr>
            <w:r w:rsidRPr="00D51AE5">
              <w:rPr>
                <w:rFonts w:ascii="Arial" w:hAnsi="Arial" w:cs="Arial"/>
                <w:b/>
              </w:rPr>
              <w:t xml:space="preserve">WHEREAS, </w:t>
            </w:r>
            <w:r w:rsidRPr="00D51AE5">
              <w:rPr>
                <w:rFonts w:ascii="Arial" w:hAnsi="Arial" w:cs="Arial"/>
              </w:rPr>
              <w:t xml:space="preserve">in Section 2 of RA No.11234, otherwise known as the </w:t>
            </w:r>
            <w:r w:rsidRPr="00D51AE5">
              <w:rPr>
                <w:rFonts w:ascii="Arial" w:hAnsi="Arial" w:cs="Arial"/>
                <w:i/>
              </w:rPr>
              <w:t xml:space="preserve">“Energy Virtual One-Stop Shop Act” </w:t>
            </w:r>
            <w:r w:rsidRPr="00D51AE5">
              <w:rPr>
                <w:rFonts w:ascii="Arial" w:hAnsi="Arial" w:cs="Arial"/>
              </w:rPr>
              <w:t xml:space="preserve">or </w:t>
            </w:r>
            <w:r w:rsidRPr="00D51AE5">
              <w:rPr>
                <w:rFonts w:ascii="Arial" w:hAnsi="Arial" w:cs="Arial"/>
                <w:i/>
              </w:rPr>
              <w:t xml:space="preserve">“EVOSS Act”, </w:t>
            </w:r>
            <w:r w:rsidRPr="00D51AE5">
              <w:rPr>
                <w:rFonts w:ascii="Arial" w:hAnsi="Arial" w:cs="Arial"/>
              </w:rPr>
              <w:t>the State is likewise commanded to, among</w:t>
            </w:r>
            <w:r w:rsidRPr="00D51AE5">
              <w:rPr>
                <w:rFonts w:ascii="Arial" w:hAnsi="Arial" w:cs="Arial"/>
                <w:spacing w:val="40"/>
              </w:rPr>
              <w:t xml:space="preserve"> </w:t>
            </w:r>
            <w:r w:rsidRPr="00D51AE5">
              <w:rPr>
                <w:rFonts w:ascii="Arial" w:hAnsi="Arial" w:cs="Arial"/>
              </w:rPr>
              <w:t>others, ensure transparency and accountability in the process of approving power generation, transmission, or distribution projects, and deliver efficient and effective service to the public;</w:t>
            </w:r>
          </w:p>
        </w:tc>
        <w:tc>
          <w:tcPr>
            <w:tcW w:w="3590" w:type="dxa"/>
          </w:tcPr>
          <w:p w14:paraId="16F1C271" w14:textId="77777777" w:rsidR="00CF520D" w:rsidRPr="00D51AE5" w:rsidRDefault="00CF520D" w:rsidP="000F3600">
            <w:pPr>
              <w:tabs>
                <w:tab w:val="left" w:pos="1230"/>
              </w:tabs>
              <w:jc w:val="both"/>
              <w:rPr>
                <w:rFonts w:ascii="Arial" w:hAnsi="Arial" w:cs="Arial"/>
                <w:b/>
              </w:rPr>
            </w:pPr>
          </w:p>
        </w:tc>
        <w:tc>
          <w:tcPr>
            <w:tcW w:w="4267" w:type="dxa"/>
          </w:tcPr>
          <w:p w14:paraId="2D917816" w14:textId="77777777" w:rsidR="00CF520D" w:rsidRPr="00D51AE5" w:rsidRDefault="00CF520D" w:rsidP="000F3600">
            <w:pPr>
              <w:tabs>
                <w:tab w:val="left" w:pos="1230"/>
              </w:tabs>
              <w:jc w:val="both"/>
              <w:rPr>
                <w:rFonts w:ascii="Arial" w:hAnsi="Arial" w:cs="Arial"/>
                <w:b/>
              </w:rPr>
            </w:pPr>
          </w:p>
        </w:tc>
      </w:tr>
      <w:tr w:rsidR="00CF520D" w:rsidRPr="00D51AE5" w14:paraId="0A46BDCC" w14:textId="6828E4A6" w:rsidTr="007639A7">
        <w:tc>
          <w:tcPr>
            <w:tcW w:w="6044" w:type="dxa"/>
          </w:tcPr>
          <w:p w14:paraId="57CA630D" w14:textId="77777777" w:rsidR="00CF520D" w:rsidRPr="00D51AE5" w:rsidRDefault="00CF520D" w:rsidP="000F3600">
            <w:pPr>
              <w:tabs>
                <w:tab w:val="left" w:pos="1230"/>
              </w:tabs>
              <w:jc w:val="both"/>
              <w:rPr>
                <w:rFonts w:ascii="Arial" w:hAnsi="Arial" w:cs="Arial"/>
                <w:bCs/>
              </w:rPr>
            </w:pPr>
            <w:r w:rsidRPr="00D51AE5">
              <w:rPr>
                <w:rFonts w:ascii="Arial" w:hAnsi="Arial" w:cs="Arial"/>
                <w:b/>
              </w:rPr>
              <w:t>WHEREAS</w:t>
            </w:r>
            <w:r w:rsidRPr="00D51AE5">
              <w:rPr>
                <w:rFonts w:ascii="Arial" w:hAnsi="Arial" w:cs="Arial"/>
                <w:bCs/>
              </w:rPr>
              <w:t>, on 01 August 2019, the DOE issued DC No. DC2019-08-0012 which aims to introduce Energy Storage System (ESS) technologies to serve a variety of functions in the generation, transmission, and distribution of electric energy;</w:t>
            </w:r>
          </w:p>
        </w:tc>
        <w:tc>
          <w:tcPr>
            <w:tcW w:w="3590" w:type="dxa"/>
          </w:tcPr>
          <w:p w14:paraId="3E054D8E" w14:textId="77777777" w:rsidR="00CF520D" w:rsidRPr="00D51AE5" w:rsidRDefault="00CF520D" w:rsidP="000F3600">
            <w:pPr>
              <w:tabs>
                <w:tab w:val="left" w:pos="1230"/>
              </w:tabs>
              <w:jc w:val="both"/>
              <w:rPr>
                <w:rFonts w:ascii="Arial" w:hAnsi="Arial" w:cs="Arial"/>
                <w:b/>
              </w:rPr>
            </w:pPr>
          </w:p>
        </w:tc>
        <w:tc>
          <w:tcPr>
            <w:tcW w:w="4267" w:type="dxa"/>
          </w:tcPr>
          <w:p w14:paraId="03D893D8" w14:textId="77777777" w:rsidR="00CF520D" w:rsidRPr="00D51AE5" w:rsidRDefault="00CF520D" w:rsidP="000F3600">
            <w:pPr>
              <w:tabs>
                <w:tab w:val="left" w:pos="1230"/>
              </w:tabs>
              <w:jc w:val="both"/>
              <w:rPr>
                <w:rFonts w:ascii="Arial" w:hAnsi="Arial" w:cs="Arial"/>
                <w:b/>
              </w:rPr>
            </w:pPr>
          </w:p>
        </w:tc>
      </w:tr>
      <w:tr w:rsidR="00CF520D" w:rsidRPr="00D51AE5" w14:paraId="33078F5B" w14:textId="779BB9BB" w:rsidTr="007639A7">
        <w:tc>
          <w:tcPr>
            <w:tcW w:w="6044" w:type="dxa"/>
          </w:tcPr>
          <w:p w14:paraId="56EBE6F1" w14:textId="77777777" w:rsidR="00CF520D" w:rsidRPr="00D51AE5" w:rsidRDefault="00CF520D" w:rsidP="000F3600">
            <w:pPr>
              <w:contextualSpacing/>
              <w:jc w:val="both"/>
              <w:rPr>
                <w:rFonts w:ascii="Arial" w:hAnsi="Arial" w:cs="Arial"/>
              </w:rPr>
            </w:pPr>
            <w:r w:rsidRPr="00D51AE5">
              <w:rPr>
                <w:rFonts w:ascii="Arial" w:hAnsi="Arial" w:cs="Arial"/>
                <w:b/>
                <w:bCs/>
              </w:rPr>
              <w:t>WHEREAS,</w:t>
            </w:r>
            <w:r w:rsidRPr="00D51AE5">
              <w:rPr>
                <w:rFonts w:ascii="Arial" w:hAnsi="Arial" w:cs="Arial"/>
              </w:rPr>
              <w:t xml:space="preserve"> after DC No. DC2019-10-0013 took effect, the DOE implemented further enhancements in the award and administration of RE Contracts and the registration of RE Developers, to wit:</w:t>
            </w:r>
          </w:p>
        </w:tc>
        <w:tc>
          <w:tcPr>
            <w:tcW w:w="3590" w:type="dxa"/>
          </w:tcPr>
          <w:p w14:paraId="0E824754" w14:textId="77777777" w:rsidR="00CF520D" w:rsidRPr="00D51AE5" w:rsidRDefault="00CF520D" w:rsidP="000F3600">
            <w:pPr>
              <w:contextualSpacing/>
              <w:jc w:val="both"/>
              <w:rPr>
                <w:rFonts w:ascii="Arial" w:hAnsi="Arial" w:cs="Arial"/>
                <w:b/>
                <w:bCs/>
              </w:rPr>
            </w:pPr>
          </w:p>
        </w:tc>
        <w:tc>
          <w:tcPr>
            <w:tcW w:w="4267" w:type="dxa"/>
          </w:tcPr>
          <w:p w14:paraId="2C312DF3" w14:textId="77777777" w:rsidR="00CF520D" w:rsidRPr="00D51AE5" w:rsidRDefault="00CF520D" w:rsidP="000F3600">
            <w:pPr>
              <w:contextualSpacing/>
              <w:jc w:val="both"/>
              <w:rPr>
                <w:rFonts w:ascii="Arial" w:hAnsi="Arial" w:cs="Arial"/>
                <w:b/>
                <w:bCs/>
              </w:rPr>
            </w:pPr>
          </w:p>
        </w:tc>
      </w:tr>
      <w:tr w:rsidR="00CF520D" w:rsidRPr="00D51AE5" w14:paraId="38681FD9" w14:textId="34FF01A3" w:rsidTr="007639A7">
        <w:tc>
          <w:tcPr>
            <w:tcW w:w="6044" w:type="dxa"/>
          </w:tcPr>
          <w:p w14:paraId="112164EA" w14:textId="77777777" w:rsidR="00471D2D" w:rsidRPr="005F5A7F" w:rsidRDefault="00471D2D" w:rsidP="00471D2D">
            <w:pPr>
              <w:ind w:firstLine="309"/>
              <w:contextualSpacing/>
              <w:jc w:val="both"/>
              <w:rPr>
                <w:rFonts w:ascii="Arial" w:hAnsi="Arial" w:cs="Arial"/>
              </w:rPr>
            </w:pPr>
            <w:r w:rsidRPr="005F5A7F">
              <w:rPr>
                <w:rFonts w:ascii="Arial" w:hAnsi="Arial" w:cs="Arial"/>
              </w:rPr>
              <w:t>(a)</w:t>
            </w:r>
            <w:r>
              <w:rPr>
                <w:rFonts w:ascii="Arial" w:hAnsi="Arial" w:cs="Arial"/>
              </w:rPr>
              <w:t xml:space="preserve"> </w:t>
            </w:r>
            <w:r w:rsidRPr="005F5A7F">
              <w:rPr>
                <w:rFonts w:ascii="Arial" w:hAnsi="Arial" w:cs="Arial"/>
              </w:rPr>
              <w:t>DC2009-07-0011 dated 12 July 2009;</w:t>
            </w:r>
          </w:p>
          <w:p w14:paraId="492919C2" w14:textId="77777777" w:rsidR="00471D2D" w:rsidRPr="005F5A7F" w:rsidRDefault="00471D2D" w:rsidP="00471D2D">
            <w:pPr>
              <w:ind w:firstLine="309"/>
              <w:contextualSpacing/>
              <w:jc w:val="both"/>
              <w:rPr>
                <w:rFonts w:ascii="Arial" w:hAnsi="Arial" w:cs="Arial"/>
              </w:rPr>
            </w:pPr>
            <w:r w:rsidRPr="005F5A7F">
              <w:rPr>
                <w:rFonts w:ascii="Arial" w:hAnsi="Arial" w:cs="Arial"/>
              </w:rPr>
              <w:t>(b)</w:t>
            </w:r>
            <w:r>
              <w:rPr>
                <w:rFonts w:ascii="Arial" w:hAnsi="Arial" w:cs="Arial"/>
              </w:rPr>
              <w:t xml:space="preserve"> </w:t>
            </w:r>
            <w:r w:rsidRPr="005F5A7F">
              <w:rPr>
                <w:rFonts w:ascii="Arial" w:hAnsi="Arial" w:cs="Arial"/>
              </w:rPr>
              <w:t>DO2013-08-0011 dated 20 July 2013;</w:t>
            </w:r>
          </w:p>
          <w:p w14:paraId="48CDFC85" w14:textId="77777777" w:rsidR="00471D2D" w:rsidRPr="005F5A7F" w:rsidRDefault="00471D2D" w:rsidP="00471D2D">
            <w:pPr>
              <w:ind w:firstLine="309"/>
              <w:contextualSpacing/>
              <w:jc w:val="both"/>
              <w:rPr>
                <w:rFonts w:ascii="Arial" w:hAnsi="Arial" w:cs="Arial"/>
              </w:rPr>
            </w:pPr>
            <w:r w:rsidRPr="005F5A7F">
              <w:rPr>
                <w:rFonts w:ascii="Arial" w:hAnsi="Arial" w:cs="Arial"/>
              </w:rPr>
              <w:t>(c)</w:t>
            </w:r>
            <w:r>
              <w:rPr>
                <w:rFonts w:ascii="Arial" w:hAnsi="Arial" w:cs="Arial"/>
              </w:rPr>
              <w:t xml:space="preserve"> </w:t>
            </w:r>
            <w:r w:rsidRPr="005F5A7F">
              <w:rPr>
                <w:rFonts w:ascii="Arial" w:hAnsi="Arial" w:cs="Arial"/>
              </w:rPr>
              <w:t>DO2013-10-0018 dated 09 October 2013;</w:t>
            </w:r>
          </w:p>
          <w:p w14:paraId="215D5A60" w14:textId="77777777" w:rsidR="00471D2D" w:rsidRPr="005F5A7F" w:rsidRDefault="00471D2D" w:rsidP="00471D2D">
            <w:pPr>
              <w:ind w:firstLine="309"/>
              <w:contextualSpacing/>
              <w:jc w:val="both"/>
              <w:rPr>
                <w:rFonts w:ascii="Arial" w:hAnsi="Arial" w:cs="Arial"/>
              </w:rPr>
            </w:pPr>
            <w:r w:rsidRPr="005F5A7F">
              <w:rPr>
                <w:rFonts w:ascii="Arial" w:hAnsi="Arial" w:cs="Arial"/>
              </w:rPr>
              <w:lastRenderedPageBreak/>
              <w:t>(d)</w:t>
            </w:r>
            <w:r>
              <w:rPr>
                <w:rFonts w:ascii="Arial" w:hAnsi="Arial" w:cs="Arial"/>
              </w:rPr>
              <w:t xml:space="preserve"> </w:t>
            </w:r>
            <w:r w:rsidRPr="005F5A7F">
              <w:rPr>
                <w:rFonts w:ascii="Arial" w:hAnsi="Arial" w:cs="Arial"/>
              </w:rPr>
              <w:t>DO2013-12-0020 dated 02 December 2013;</w:t>
            </w:r>
          </w:p>
          <w:p w14:paraId="1560E979" w14:textId="77777777" w:rsidR="00471D2D" w:rsidRPr="005F5A7F" w:rsidRDefault="00471D2D" w:rsidP="00471D2D">
            <w:pPr>
              <w:ind w:firstLine="309"/>
              <w:contextualSpacing/>
              <w:jc w:val="both"/>
              <w:rPr>
                <w:rFonts w:ascii="Arial" w:hAnsi="Arial" w:cs="Arial"/>
              </w:rPr>
            </w:pPr>
            <w:r w:rsidRPr="005F5A7F">
              <w:rPr>
                <w:rFonts w:ascii="Arial" w:hAnsi="Arial" w:cs="Arial"/>
              </w:rPr>
              <w:t>(e)</w:t>
            </w:r>
            <w:r>
              <w:rPr>
                <w:rFonts w:ascii="Arial" w:hAnsi="Arial" w:cs="Arial"/>
              </w:rPr>
              <w:t xml:space="preserve"> </w:t>
            </w:r>
            <w:r w:rsidRPr="005F5A7F">
              <w:rPr>
                <w:rFonts w:ascii="Arial" w:hAnsi="Arial" w:cs="Arial"/>
              </w:rPr>
              <w:t>DO2013-12-0023 dated 27 December 2013;</w:t>
            </w:r>
          </w:p>
          <w:p w14:paraId="41E97D35" w14:textId="77777777" w:rsidR="00471D2D" w:rsidRPr="005F5A7F" w:rsidRDefault="00471D2D" w:rsidP="00471D2D">
            <w:pPr>
              <w:ind w:firstLine="309"/>
              <w:contextualSpacing/>
              <w:jc w:val="both"/>
              <w:rPr>
                <w:rFonts w:ascii="Arial" w:hAnsi="Arial" w:cs="Arial"/>
              </w:rPr>
            </w:pPr>
            <w:r w:rsidRPr="005F5A7F">
              <w:rPr>
                <w:rFonts w:ascii="Arial" w:hAnsi="Arial" w:cs="Arial"/>
              </w:rPr>
              <w:t>(f)</w:t>
            </w:r>
            <w:r>
              <w:rPr>
                <w:rFonts w:ascii="Arial" w:hAnsi="Arial" w:cs="Arial"/>
              </w:rPr>
              <w:t xml:space="preserve"> </w:t>
            </w:r>
            <w:r w:rsidRPr="005F5A7F">
              <w:rPr>
                <w:rFonts w:ascii="Arial" w:hAnsi="Arial" w:cs="Arial"/>
              </w:rPr>
              <w:t>DO2014-06-0010 dated 09 June 2014;</w:t>
            </w:r>
          </w:p>
          <w:p w14:paraId="35752136" w14:textId="77777777" w:rsidR="00471D2D" w:rsidRPr="005F5A7F" w:rsidRDefault="00471D2D" w:rsidP="00471D2D">
            <w:pPr>
              <w:ind w:firstLine="309"/>
              <w:contextualSpacing/>
              <w:jc w:val="both"/>
              <w:rPr>
                <w:rFonts w:ascii="Arial" w:hAnsi="Arial" w:cs="Arial"/>
              </w:rPr>
            </w:pPr>
            <w:r w:rsidRPr="005F5A7F">
              <w:rPr>
                <w:rFonts w:ascii="Arial" w:hAnsi="Arial" w:cs="Arial"/>
              </w:rPr>
              <w:t>(g)</w:t>
            </w:r>
            <w:r>
              <w:rPr>
                <w:rFonts w:ascii="Arial" w:hAnsi="Arial" w:cs="Arial"/>
              </w:rPr>
              <w:t xml:space="preserve"> </w:t>
            </w:r>
            <w:r w:rsidRPr="005F5A7F">
              <w:rPr>
                <w:rFonts w:ascii="Arial" w:hAnsi="Arial" w:cs="Arial"/>
              </w:rPr>
              <w:t>DO2014-10-0018 dated 14 October 2014;</w:t>
            </w:r>
          </w:p>
          <w:p w14:paraId="6987EEFA" w14:textId="77777777" w:rsidR="00471D2D" w:rsidRPr="005F5A7F" w:rsidRDefault="00471D2D" w:rsidP="00471D2D">
            <w:pPr>
              <w:ind w:firstLine="309"/>
              <w:contextualSpacing/>
              <w:jc w:val="both"/>
              <w:rPr>
                <w:rFonts w:ascii="Arial" w:hAnsi="Arial" w:cs="Arial"/>
              </w:rPr>
            </w:pPr>
            <w:r w:rsidRPr="005F5A7F">
              <w:rPr>
                <w:rFonts w:ascii="Arial" w:hAnsi="Arial" w:cs="Arial"/>
              </w:rPr>
              <w:t>(h)</w:t>
            </w:r>
            <w:r>
              <w:rPr>
                <w:rFonts w:ascii="Arial" w:hAnsi="Arial" w:cs="Arial"/>
              </w:rPr>
              <w:t xml:space="preserve"> </w:t>
            </w:r>
            <w:r w:rsidRPr="005F5A7F">
              <w:rPr>
                <w:rFonts w:ascii="Arial" w:hAnsi="Arial" w:cs="Arial"/>
              </w:rPr>
              <w:t>DO2016-09-0011 dated 05 September 2016;</w:t>
            </w:r>
          </w:p>
          <w:p w14:paraId="1EE7EF46" w14:textId="77777777" w:rsidR="00471D2D" w:rsidRPr="005F5A7F" w:rsidRDefault="00471D2D" w:rsidP="00471D2D">
            <w:pPr>
              <w:ind w:firstLine="309"/>
              <w:contextualSpacing/>
              <w:jc w:val="both"/>
              <w:rPr>
                <w:rFonts w:ascii="Arial" w:hAnsi="Arial" w:cs="Arial"/>
              </w:rPr>
            </w:pPr>
            <w:r w:rsidRPr="005F5A7F">
              <w:rPr>
                <w:rFonts w:ascii="Arial" w:hAnsi="Arial" w:cs="Arial"/>
              </w:rPr>
              <w:t>(</w:t>
            </w:r>
            <w:proofErr w:type="spellStart"/>
            <w:r w:rsidRPr="005F5A7F">
              <w:rPr>
                <w:rFonts w:ascii="Arial" w:hAnsi="Arial" w:cs="Arial"/>
              </w:rPr>
              <w:t>i</w:t>
            </w:r>
            <w:proofErr w:type="spellEnd"/>
            <w:r w:rsidRPr="005F5A7F">
              <w:rPr>
                <w:rFonts w:ascii="Arial" w:hAnsi="Arial" w:cs="Arial"/>
              </w:rPr>
              <w:t>)</w:t>
            </w:r>
            <w:r>
              <w:rPr>
                <w:rFonts w:ascii="Arial" w:hAnsi="Arial" w:cs="Arial"/>
              </w:rPr>
              <w:t xml:space="preserve"> </w:t>
            </w:r>
            <w:r w:rsidRPr="005F5A7F">
              <w:rPr>
                <w:rFonts w:ascii="Arial" w:hAnsi="Arial" w:cs="Arial"/>
              </w:rPr>
              <w:t>DO2016-06-0010 dated 24 June 2016;</w:t>
            </w:r>
          </w:p>
          <w:p w14:paraId="42D30CF9" w14:textId="77777777" w:rsidR="00471D2D" w:rsidRPr="005F5A7F" w:rsidRDefault="00471D2D" w:rsidP="00471D2D">
            <w:pPr>
              <w:ind w:firstLine="309"/>
              <w:contextualSpacing/>
              <w:jc w:val="both"/>
              <w:rPr>
                <w:rFonts w:ascii="Arial" w:hAnsi="Arial" w:cs="Arial"/>
              </w:rPr>
            </w:pPr>
            <w:r w:rsidRPr="005F5A7F">
              <w:rPr>
                <w:rFonts w:ascii="Arial" w:hAnsi="Arial" w:cs="Arial"/>
              </w:rPr>
              <w:t>(j)</w:t>
            </w:r>
            <w:r>
              <w:rPr>
                <w:rFonts w:ascii="Arial" w:hAnsi="Arial" w:cs="Arial"/>
              </w:rPr>
              <w:t xml:space="preserve"> </w:t>
            </w:r>
            <w:r w:rsidRPr="005F5A7F">
              <w:rPr>
                <w:rFonts w:ascii="Arial" w:hAnsi="Arial" w:cs="Arial"/>
              </w:rPr>
              <w:t>DO2017-04-0005 dated 07 April 2017;</w:t>
            </w:r>
          </w:p>
          <w:p w14:paraId="35A57D4E" w14:textId="77777777" w:rsidR="00471D2D" w:rsidRPr="005F5A7F" w:rsidRDefault="00471D2D" w:rsidP="00471D2D">
            <w:pPr>
              <w:ind w:firstLine="309"/>
              <w:contextualSpacing/>
              <w:jc w:val="both"/>
              <w:rPr>
                <w:rFonts w:ascii="Arial" w:hAnsi="Arial" w:cs="Arial"/>
              </w:rPr>
            </w:pPr>
            <w:r w:rsidRPr="005F5A7F">
              <w:rPr>
                <w:rFonts w:ascii="Arial" w:hAnsi="Arial" w:cs="Arial"/>
              </w:rPr>
              <w:t>(k)</w:t>
            </w:r>
            <w:r>
              <w:rPr>
                <w:rFonts w:ascii="Arial" w:hAnsi="Arial" w:cs="Arial"/>
              </w:rPr>
              <w:t xml:space="preserve"> </w:t>
            </w:r>
            <w:r w:rsidRPr="005F5A7F">
              <w:rPr>
                <w:rFonts w:ascii="Arial" w:hAnsi="Arial" w:cs="Arial"/>
              </w:rPr>
              <w:t>DO2018-03-0003 dated 16 March 2018;</w:t>
            </w:r>
          </w:p>
          <w:p w14:paraId="28C4F2CD" w14:textId="77777777" w:rsidR="00471D2D" w:rsidRPr="005F5A7F" w:rsidRDefault="00471D2D" w:rsidP="00471D2D">
            <w:pPr>
              <w:ind w:firstLine="309"/>
              <w:contextualSpacing/>
              <w:jc w:val="both"/>
              <w:rPr>
                <w:rFonts w:ascii="Arial" w:hAnsi="Arial" w:cs="Arial"/>
              </w:rPr>
            </w:pPr>
            <w:r w:rsidRPr="005F5A7F">
              <w:rPr>
                <w:rFonts w:ascii="Arial" w:hAnsi="Arial" w:cs="Arial"/>
              </w:rPr>
              <w:t>(l)</w:t>
            </w:r>
            <w:r>
              <w:rPr>
                <w:rFonts w:ascii="Arial" w:hAnsi="Arial" w:cs="Arial"/>
              </w:rPr>
              <w:t xml:space="preserve"> </w:t>
            </w:r>
            <w:r w:rsidRPr="005F5A7F">
              <w:rPr>
                <w:rFonts w:ascii="Arial" w:hAnsi="Arial" w:cs="Arial"/>
              </w:rPr>
              <w:t>DO2019-01-0003 dated 11 January 2019; and</w:t>
            </w:r>
          </w:p>
          <w:p w14:paraId="26A377AB" w14:textId="77777777" w:rsidR="00471D2D" w:rsidRPr="005F5A7F" w:rsidRDefault="00471D2D" w:rsidP="00471D2D">
            <w:pPr>
              <w:ind w:firstLine="309"/>
              <w:contextualSpacing/>
              <w:jc w:val="both"/>
              <w:rPr>
                <w:rFonts w:ascii="Arial" w:hAnsi="Arial" w:cs="Arial"/>
              </w:rPr>
            </w:pPr>
            <w:r w:rsidRPr="005F5A7F">
              <w:rPr>
                <w:rFonts w:ascii="Arial" w:hAnsi="Arial" w:cs="Arial"/>
              </w:rPr>
              <w:t>(m)</w:t>
            </w:r>
            <w:r>
              <w:rPr>
                <w:rFonts w:ascii="Arial" w:hAnsi="Arial" w:cs="Arial"/>
              </w:rPr>
              <w:t xml:space="preserve"> </w:t>
            </w:r>
            <w:r w:rsidRPr="005F5A7F">
              <w:rPr>
                <w:rFonts w:ascii="Arial" w:hAnsi="Arial" w:cs="Arial"/>
              </w:rPr>
              <w:t>DO2019-07-0018 dated 30 July 2019;</w:t>
            </w:r>
          </w:p>
          <w:p w14:paraId="44136DCD" w14:textId="77777777" w:rsidR="00CF520D" w:rsidRPr="00D51AE5" w:rsidRDefault="00CF520D" w:rsidP="000F3600">
            <w:pPr>
              <w:contextualSpacing/>
              <w:jc w:val="both"/>
              <w:rPr>
                <w:rFonts w:ascii="Arial" w:hAnsi="Arial" w:cs="Arial"/>
              </w:rPr>
            </w:pPr>
          </w:p>
        </w:tc>
        <w:tc>
          <w:tcPr>
            <w:tcW w:w="3590" w:type="dxa"/>
          </w:tcPr>
          <w:p w14:paraId="70BBA180" w14:textId="77777777" w:rsidR="00CF520D" w:rsidRPr="00D51AE5" w:rsidRDefault="00CF520D" w:rsidP="000F3600">
            <w:pPr>
              <w:contextualSpacing/>
              <w:jc w:val="both"/>
              <w:rPr>
                <w:rFonts w:ascii="Arial" w:hAnsi="Arial" w:cs="Arial"/>
              </w:rPr>
            </w:pPr>
          </w:p>
        </w:tc>
        <w:tc>
          <w:tcPr>
            <w:tcW w:w="4267" w:type="dxa"/>
          </w:tcPr>
          <w:p w14:paraId="35EEAA46" w14:textId="77777777" w:rsidR="00CF520D" w:rsidRPr="00D51AE5" w:rsidRDefault="00CF520D" w:rsidP="000F3600">
            <w:pPr>
              <w:contextualSpacing/>
              <w:jc w:val="both"/>
              <w:rPr>
                <w:rFonts w:ascii="Arial" w:hAnsi="Arial" w:cs="Arial"/>
              </w:rPr>
            </w:pPr>
          </w:p>
        </w:tc>
      </w:tr>
      <w:tr w:rsidR="00CF520D" w:rsidRPr="00D51AE5" w14:paraId="3EF0625B" w14:textId="56E5F6A9" w:rsidTr="007639A7">
        <w:tc>
          <w:tcPr>
            <w:tcW w:w="6044" w:type="dxa"/>
          </w:tcPr>
          <w:p w14:paraId="5154D807" w14:textId="77777777" w:rsidR="00CF520D" w:rsidRPr="00D51AE5" w:rsidRDefault="00CF520D" w:rsidP="000F3600">
            <w:pPr>
              <w:contextualSpacing/>
              <w:jc w:val="both"/>
              <w:rPr>
                <w:rFonts w:ascii="Arial" w:hAnsi="Arial" w:cs="Arial"/>
              </w:rPr>
            </w:pPr>
            <w:r w:rsidRPr="00D51AE5">
              <w:rPr>
                <w:rFonts w:ascii="Arial" w:hAnsi="Arial" w:cs="Arial"/>
                <w:b/>
              </w:rPr>
              <w:t xml:space="preserve">WHEREAS, </w:t>
            </w:r>
            <w:r w:rsidRPr="00D51AE5">
              <w:rPr>
                <w:rFonts w:ascii="Arial" w:hAnsi="Arial" w:cs="Arial"/>
              </w:rPr>
              <w:t>after DC No. DC2019-10-0013 took effect, the DOE implemented further enhancements in the award and administration of RE Contracts and the registration of RE Developers, to wit:</w:t>
            </w:r>
          </w:p>
        </w:tc>
        <w:tc>
          <w:tcPr>
            <w:tcW w:w="3590" w:type="dxa"/>
          </w:tcPr>
          <w:p w14:paraId="27E4D5A6" w14:textId="77777777" w:rsidR="00CF520D" w:rsidRPr="00D51AE5" w:rsidRDefault="00CF520D" w:rsidP="000F3600">
            <w:pPr>
              <w:contextualSpacing/>
              <w:jc w:val="both"/>
              <w:rPr>
                <w:rFonts w:ascii="Arial" w:hAnsi="Arial" w:cs="Arial"/>
                <w:b/>
              </w:rPr>
            </w:pPr>
          </w:p>
        </w:tc>
        <w:tc>
          <w:tcPr>
            <w:tcW w:w="4267" w:type="dxa"/>
          </w:tcPr>
          <w:p w14:paraId="4F349B6B" w14:textId="77777777" w:rsidR="00CF520D" w:rsidRPr="00D51AE5" w:rsidRDefault="00CF520D" w:rsidP="000F3600">
            <w:pPr>
              <w:contextualSpacing/>
              <w:jc w:val="both"/>
              <w:rPr>
                <w:rFonts w:ascii="Arial" w:hAnsi="Arial" w:cs="Arial"/>
                <w:b/>
              </w:rPr>
            </w:pPr>
          </w:p>
        </w:tc>
      </w:tr>
      <w:tr w:rsidR="00CF520D" w:rsidRPr="00D51AE5" w14:paraId="5FEEEE06" w14:textId="49D27F92" w:rsidTr="007639A7">
        <w:tc>
          <w:tcPr>
            <w:tcW w:w="6044" w:type="dxa"/>
          </w:tcPr>
          <w:p w14:paraId="1E3B94CE" w14:textId="77777777" w:rsidR="006C4239" w:rsidRPr="005F5A7F" w:rsidRDefault="006C4239" w:rsidP="006C4239">
            <w:pPr>
              <w:ind w:firstLine="450"/>
              <w:contextualSpacing/>
              <w:jc w:val="both"/>
              <w:rPr>
                <w:rFonts w:ascii="Arial" w:hAnsi="Arial" w:cs="Arial"/>
                <w:bCs/>
              </w:rPr>
            </w:pPr>
            <w:r w:rsidRPr="005F5A7F">
              <w:rPr>
                <w:rFonts w:ascii="Arial" w:hAnsi="Arial" w:cs="Arial"/>
                <w:bCs/>
              </w:rPr>
              <w:t>(a)</w:t>
            </w:r>
            <w:r>
              <w:rPr>
                <w:rFonts w:ascii="Arial" w:hAnsi="Arial" w:cs="Arial"/>
                <w:bCs/>
              </w:rPr>
              <w:t xml:space="preserve"> </w:t>
            </w:r>
            <w:r w:rsidRPr="005F5A7F">
              <w:rPr>
                <w:rFonts w:ascii="Arial" w:hAnsi="Arial" w:cs="Arial"/>
                <w:bCs/>
              </w:rPr>
              <w:t>DC2022-11-0034 dated 15 November 2022;</w:t>
            </w:r>
          </w:p>
          <w:p w14:paraId="6EC876C1" w14:textId="77777777" w:rsidR="006C4239" w:rsidRPr="005F5A7F" w:rsidRDefault="006C4239" w:rsidP="006C4239">
            <w:pPr>
              <w:ind w:firstLine="450"/>
              <w:contextualSpacing/>
              <w:jc w:val="both"/>
              <w:rPr>
                <w:rFonts w:ascii="Arial" w:hAnsi="Arial" w:cs="Arial"/>
                <w:bCs/>
              </w:rPr>
            </w:pPr>
            <w:r w:rsidRPr="005F5A7F">
              <w:rPr>
                <w:rFonts w:ascii="Arial" w:hAnsi="Arial" w:cs="Arial"/>
                <w:bCs/>
              </w:rPr>
              <w:t>(b)</w:t>
            </w:r>
            <w:r>
              <w:rPr>
                <w:rFonts w:ascii="Arial" w:hAnsi="Arial" w:cs="Arial"/>
                <w:bCs/>
              </w:rPr>
              <w:t xml:space="preserve"> </w:t>
            </w:r>
            <w:r w:rsidRPr="005F5A7F">
              <w:rPr>
                <w:rFonts w:ascii="Arial" w:hAnsi="Arial" w:cs="Arial"/>
                <w:bCs/>
              </w:rPr>
              <w:t>Advisory No. 1 dated 15 March 2023;</w:t>
            </w:r>
          </w:p>
          <w:p w14:paraId="1B80B4BD" w14:textId="77777777" w:rsidR="006C4239" w:rsidRPr="005F5A7F" w:rsidRDefault="006C4239" w:rsidP="006C4239">
            <w:pPr>
              <w:ind w:firstLine="450"/>
              <w:contextualSpacing/>
              <w:jc w:val="both"/>
              <w:rPr>
                <w:rFonts w:ascii="Arial" w:hAnsi="Arial" w:cs="Arial"/>
                <w:bCs/>
              </w:rPr>
            </w:pPr>
            <w:r w:rsidRPr="005F5A7F">
              <w:rPr>
                <w:rFonts w:ascii="Arial" w:hAnsi="Arial" w:cs="Arial"/>
                <w:bCs/>
              </w:rPr>
              <w:t>(c)</w:t>
            </w:r>
            <w:r>
              <w:rPr>
                <w:rFonts w:ascii="Arial" w:hAnsi="Arial" w:cs="Arial"/>
                <w:bCs/>
              </w:rPr>
              <w:t xml:space="preserve"> </w:t>
            </w:r>
            <w:r w:rsidRPr="005F5A7F">
              <w:rPr>
                <w:rFonts w:ascii="Arial" w:hAnsi="Arial" w:cs="Arial"/>
                <w:bCs/>
              </w:rPr>
              <w:t>Advisory No. 2 dated 15 March 2023; and</w:t>
            </w:r>
          </w:p>
          <w:p w14:paraId="26FA006C" w14:textId="0A3BBA0F" w:rsidR="00CF520D" w:rsidRPr="006C4239" w:rsidRDefault="006C4239" w:rsidP="006C4239">
            <w:pPr>
              <w:ind w:firstLine="450"/>
              <w:contextualSpacing/>
              <w:jc w:val="both"/>
              <w:rPr>
                <w:rFonts w:ascii="Arial" w:hAnsi="Arial" w:cs="Arial"/>
                <w:bCs/>
              </w:rPr>
            </w:pPr>
            <w:r w:rsidRPr="005F5A7F">
              <w:rPr>
                <w:rFonts w:ascii="Arial" w:hAnsi="Arial" w:cs="Arial"/>
                <w:bCs/>
              </w:rPr>
              <w:t>(d)</w:t>
            </w:r>
            <w:r>
              <w:rPr>
                <w:rFonts w:ascii="Arial" w:hAnsi="Arial" w:cs="Arial"/>
                <w:bCs/>
              </w:rPr>
              <w:t xml:space="preserve"> </w:t>
            </w:r>
            <w:r w:rsidRPr="005F5A7F">
              <w:rPr>
                <w:rFonts w:ascii="Arial" w:hAnsi="Arial" w:cs="Arial"/>
                <w:bCs/>
              </w:rPr>
              <w:t>Advisory No. 3 dated 29 April 2023;</w:t>
            </w:r>
          </w:p>
        </w:tc>
        <w:tc>
          <w:tcPr>
            <w:tcW w:w="3590" w:type="dxa"/>
          </w:tcPr>
          <w:p w14:paraId="294E9B07" w14:textId="77777777" w:rsidR="00CF520D" w:rsidRPr="00D51AE5" w:rsidRDefault="00CF520D" w:rsidP="000F3600">
            <w:pPr>
              <w:contextualSpacing/>
              <w:jc w:val="both"/>
              <w:rPr>
                <w:rFonts w:ascii="Arial" w:hAnsi="Arial" w:cs="Arial"/>
                <w:b/>
              </w:rPr>
            </w:pPr>
          </w:p>
        </w:tc>
        <w:tc>
          <w:tcPr>
            <w:tcW w:w="4267" w:type="dxa"/>
          </w:tcPr>
          <w:p w14:paraId="2B74D663" w14:textId="77777777" w:rsidR="00CF520D" w:rsidRPr="00D51AE5" w:rsidRDefault="00CF520D" w:rsidP="000F3600">
            <w:pPr>
              <w:contextualSpacing/>
              <w:jc w:val="both"/>
              <w:rPr>
                <w:rFonts w:ascii="Arial" w:hAnsi="Arial" w:cs="Arial"/>
                <w:b/>
              </w:rPr>
            </w:pPr>
          </w:p>
        </w:tc>
      </w:tr>
      <w:tr w:rsidR="00CF520D" w:rsidRPr="00D51AE5" w14:paraId="217921FA" w14:textId="7A6161E6" w:rsidTr="007639A7">
        <w:tc>
          <w:tcPr>
            <w:tcW w:w="6044" w:type="dxa"/>
          </w:tcPr>
          <w:p w14:paraId="16E67091" w14:textId="77777777" w:rsidR="00CF520D" w:rsidRPr="00D51AE5" w:rsidRDefault="00CF520D" w:rsidP="000F3600">
            <w:pPr>
              <w:tabs>
                <w:tab w:val="left" w:pos="1230"/>
              </w:tabs>
              <w:jc w:val="both"/>
              <w:rPr>
                <w:rFonts w:ascii="Arial" w:hAnsi="Arial" w:cs="Arial"/>
                <w:bCs/>
              </w:rPr>
            </w:pPr>
            <w:r w:rsidRPr="00D51AE5">
              <w:rPr>
                <w:rFonts w:ascii="Arial" w:hAnsi="Arial" w:cs="Arial"/>
                <w:b/>
              </w:rPr>
              <w:t xml:space="preserve">WHEREAS, </w:t>
            </w:r>
            <w:r w:rsidRPr="00D51AE5">
              <w:rPr>
                <w:rFonts w:ascii="Arial" w:hAnsi="Arial" w:cs="Arial"/>
                <w:bCs/>
              </w:rPr>
              <w:t>there is a need to integrate the above issuances and the DOE’s recent policies for an effective and efficient award and administration of RE Contracts and registration of RE Developers;</w:t>
            </w:r>
          </w:p>
        </w:tc>
        <w:tc>
          <w:tcPr>
            <w:tcW w:w="3590" w:type="dxa"/>
          </w:tcPr>
          <w:p w14:paraId="539816F9" w14:textId="77777777" w:rsidR="00CF520D" w:rsidRPr="00D51AE5" w:rsidRDefault="00CF520D" w:rsidP="000F3600">
            <w:pPr>
              <w:tabs>
                <w:tab w:val="left" w:pos="1230"/>
              </w:tabs>
              <w:jc w:val="both"/>
              <w:rPr>
                <w:rFonts w:ascii="Arial" w:hAnsi="Arial" w:cs="Arial"/>
                <w:b/>
              </w:rPr>
            </w:pPr>
          </w:p>
        </w:tc>
        <w:tc>
          <w:tcPr>
            <w:tcW w:w="4267" w:type="dxa"/>
          </w:tcPr>
          <w:p w14:paraId="04F5A8D9" w14:textId="77777777" w:rsidR="00CF520D" w:rsidRPr="00D51AE5" w:rsidRDefault="00CF520D" w:rsidP="000F3600">
            <w:pPr>
              <w:tabs>
                <w:tab w:val="left" w:pos="1230"/>
              </w:tabs>
              <w:jc w:val="both"/>
              <w:rPr>
                <w:rFonts w:ascii="Arial" w:hAnsi="Arial" w:cs="Arial"/>
                <w:b/>
              </w:rPr>
            </w:pPr>
          </w:p>
        </w:tc>
      </w:tr>
      <w:tr w:rsidR="00CF520D" w:rsidRPr="00D51AE5" w14:paraId="43501CEB" w14:textId="6BB18326" w:rsidTr="007639A7">
        <w:tc>
          <w:tcPr>
            <w:tcW w:w="6044" w:type="dxa"/>
          </w:tcPr>
          <w:p w14:paraId="3F19293F" w14:textId="77777777" w:rsidR="00CF520D" w:rsidRPr="00D51AE5" w:rsidRDefault="00CF520D" w:rsidP="000F3600">
            <w:pPr>
              <w:pStyle w:val="BodyText"/>
              <w:contextualSpacing/>
              <w:jc w:val="both"/>
            </w:pPr>
            <w:r w:rsidRPr="00D51AE5">
              <w:rPr>
                <w:b/>
              </w:rPr>
              <w:t xml:space="preserve">NOW, THEREFORE, </w:t>
            </w:r>
            <w:r w:rsidRPr="00D51AE5">
              <w:t>in consideration of the foregoing premises, the DOE hereby issues the following revised guidelines and procedures governing the awarding of</w:t>
            </w:r>
            <w:r w:rsidRPr="00D51AE5">
              <w:rPr>
                <w:spacing w:val="40"/>
              </w:rPr>
              <w:t xml:space="preserve"> </w:t>
            </w:r>
            <w:r w:rsidRPr="00D51AE5">
              <w:t>RE Contracts, and the registration and management of RE Projects:</w:t>
            </w:r>
          </w:p>
        </w:tc>
        <w:tc>
          <w:tcPr>
            <w:tcW w:w="3590" w:type="dxa"/>
          </w:tcPr>
          <w:p w14:paraId="40BA7D74" w14:textId="77777777" w:rsidR="00CF520D" w:rsidRPr="00D51AE5" w:rsidRDefault="00CF520D" w:rsidP="000F3600">
            <w:pPr>
              <w:pStyle w:val="BodyText"/>
              <w:contextualSpacing/>
              <w:jc w:val="both"/>
              <w:rPr>
                <w:b/>
              </w:rPr>
            </w:pPr>
          </w:p>
        </w:tc>
        <w:tc>
          <w:tcPr>
            <w:tcW w:w="4267" w:type="dxa"/>
          </w:tcPr>
          <w:p w14:paraId="14012B6A" w14:textId="77777777" w:rsidR="00CF520D" w:rsidRPr="00D51AE5" w:rsidRDefault="00CF520D" w:rsidP="000F3600">
            <w:pPr>
              <w:pStyle w:val="BodyText"/>
              <w:contextualSpacing/>
              <w:jc w:val="both"/>
              <w:rPr>
                <w:b/>
              </w:rPr>
            </w:pPr>
          </w:p>
        </w:tc>
      </w:tr>
      <w:tr w:rsidR="00CF520D" w:rsidRPr="00D51AE5" w14:paraId="1C91B1AD" w14:textId="6562F7F1" w:rsidTr="007639A7">
        <w:tc>
          <w:tcPr>
            <w:tcW w:w="6044" w:type="dxa"/>
          </w:tcPr>
          <w:p w14:paraId="1E82D77E" w14:textId="77777777" w:rsidR="00CF520D" w:rsidRPr="00D51AE5" w:rsidRDefault="00CF520D" w:rsidP="000F3600">
            <w:pPr>
              <w:pStyle w:val="NoSpacing"/>
              <w:contextualSpacing/>
              <w:jc w:val="center"/>
              <w:rPr>
                <w:b/>
                <w:bCs/>
              </w:rPr>
            </w:pPr>
            <w:r w:rsidRPr="00D51AE5">
              <w:rPr>
                <w:b/>
                <w:bCs/>
              </w:rPr>
              <w:t>CHAPTER I - GENERAL</w:t>
            </w:r>
            <w:r w:rsidRPr="00D51AE5">
              <w:rPr>
                <w:b/>
                <w:bCs/>
                <w:spacing w:val="-17"/>
              </w:rPr>
              <w:t xml:space="preserve"> </w:t>
            </w:r>
            <w:r w:rsidRPr="00D51AE5">
              <w:rPr>
                <w:b/>
                <w:bCs/>
              </w:rPr>
              <w:t>PROVISIONS</w:t>
            </w:r>
          </w:p>
        </w:tc>
        <w:tc>
          <w:tcPr>
            <w:tcW w:w="3590" w:type="dxa"/>
          </w:tcPr>
          <w:p w14:paraId="0C01C26E" w14:textId="77777777" w:rsidR="00CF520D" w:rsidRPr="00D51AE5" w:rsidRDefault="00CF520D" w:rsidP="000F3600">
            <w:pPr>
              <w:pStyle w:val="NoSpacing"/>
              <w:contextualSpacing/>
              <w:jc w:val="center"/>
              <w:rPr>
                <w:b/>
                <w:bCs/>
              </w:rPr>
            </w:pPr>
          </w:p>
        </w:tc>
        <w:tc>
          <w:tcPr>
            <w:tcW w:w="4267" w:type="dxa"/>
          </w:tcPr>
          <w:p w14:paraId="20CECC8B" w14:textId="77777777" w:rsidR="00CF520D" w:rsidRPr="00D51AE5" w:rsidRDefault="00CF520D" w:rsidP="000F3600">
            <w:pPr>
              <w:pStyle w:val="NoSpacing"/>
              <w:contextualSpacing/>
              <w:jc w:val="center"/>
              <w:rPr>
                <w:b/>
                <w:bCs/>
              </w:rPr>
            </w:pPr>
          </w:p>
        </w:tc>
      </w:tr>
      <w:tr w:rsidR="00CF520D" w:rsidRPr="00D51AE5" w14:paraId="2BA31D36" w14:textId="5E5349A4" w:rsidTr="007639A7">
        <w:tc>
          <w:tcPr>
            <w:tcW w:w="6044" w:type="dxa"/>
          </w:tcPr>
          <w:p w14:paraId="78929D22" w14:textId="77777777" w:rsidR="00CF520D" w:rsidRPr="00D51AE5" w:rsidRDefault="00CF520D" w:rsidP="000F3600">
            <w:pPr>
              <w:contextualSpacing/>
              <w:jc w:val="both"/>
              <w:rPr>
                <w:rFonts w:ascii="Arial" w:hAnsi="Arial" w:cs="Arial"/>
                <w:b/>
              </w:rPr>
            </w:pPr>
            <w:r w:rsidRPr="00D51AE5">
              <w:rPr>
                <w:rFonts w:ascii="Arial" w:hAnsi="Arial" w:cs="Arial"/>
                <w:b/>
                <w:bCs/>
              </w:rPr>
              <w:t xml:space="preserve">Section 1. Title. </w:t>
            </w:r>
            <w:r w:rsidRPr="00D51AE5">
              <w:rPr>
                <w:rFonts w:ascii="Arial" w:hAnsi="Arial" w:cs="Arial"/>
                <w:bCs/>
              </w:rPr>
              <w:t xml:space="preserve">This Circular shall be known as the </w:t>
            </w:r>
            <w:r w:rsidRPr="00D51AE5">
              <w:rPr>
                <w:rFonts w:ascii="Arial" w:hAnsi="Arial" w:cs="Arial"/>
                <w:bCs/>
                <w:i/>
              </w:rPr>
              <w:t xml:space="preserve">“Revised Omnibus Guidelines Governing the Award </w:t>
            </w:r>
            <w:r w:rsidRPr="00D51AE5">
              <w:rPr>
                <w:rFonts w:ascii="Arial" w:hAnsi="Arial" w:cs="Arial"/>
                <w:bCs/>
                <w:i/>
              </w:rPr>
              <w:lastRenderedPageBreak/>
              <w:t>and Administration of Renewable Energy Contracts and the Registration of Renewable Energy Developers.”</w:t>
            </w:r>
          </w:p>
        </w:tc>
        <w:tc>
          <w:tcPr>
            <w:tcW w:w="3590" w:type="dxa"/>
          </w:tcPr>
          <w:p w14:paraId="091C9923" w14:textId="77777777" w:rsidR="00CF520D" w:rsidRPr="00D51AE5" w:rsidRDefault="00CF520D" w:rsidP="000F3600">
            <w:pPr>
              <w:contextualSpacing/>
              <w:jc w:val="both"/>
              <w:rPr>
                <w:rFonts w:ascii="Arial" w:hAnsi="Arial" w:cs="Arial"/>
                <w:b/>
                <w:bCs/>
              </w:rPr>
            </w:pPr>
          </w:p>
        </w:tc>
        <w:tc>
          <w:tcPr>
            <w:tcW w:w="4267" w:type="dxa"/>
          </w:tcPr>
          <w:p w14:paraId="3C3D06CC" w14:textId="77777777" w:rsidR="00CF520D" w:rsidRPr="00D51AE5" w:rsidRDefault="00CF520D" w:rsidP="000F3600">
            <w:pPr>
              <w:contextualSpacing/>
              <w:jc w:val="both"/>
              <w:rPr>
                <w:rFonts w:ascii="Arial" w:hAnsi="Arial" w:cs="Arial"/>
                <w:b/>
                <w:bCs/>
              </w:rPr>
            </w:pPr>
          </w:p>
        </w:tc>
      </w:tr>
      <w:tr w:rsidR="00CF520D" w:rsidRPr="00D51AE5" w14:paraId="2E9E5A6E" w14:textId="212D3A29" w:rsidTr="007639A7">
        <w:tc>
          <w:tcPr>
            <w:tcW w:w="6044" w:type="dxa"/>
          </w:tcPr>
          <w:p w14:paraId="219A1182" w14:textId="77777777" w:rsidR="00CF520D" w:rsidRPr="00D51AE5" w:rsidRDefault="00CF520D" w:rsidP="000F3600">
            <w:pPr>
              <w:contextualSpacing/>
              <w:jc w:val="both"/>
              <w:rPr>
                <w:rFonts w:ascii="Arial" w:hAnsi="Arial" w:cs="Arial"/>
              </w:rPr>
            </w:pPr>
            <w:r w:rsidRPr="00D51AE5">
              <w:rPr>
                <w:rFonts w:ascii="Arial" w:hAnsi="Arial" w:cs="Arial"/>
                <w:b/>
              </w:rPr>
              <w:t xml:space="preserve">Section 2. Coverage. </w:t>
            </w:r>
            <w:r w:rsidRPr="00D51AE5">
              <w:rPr>
                <w:rFonts w:ascii="Arial" w:hAnsi="Arial" w:cs="Arial"/>
              </w:rPr>
              <w:t>This Circular shall prescribe the guidelines and procedures</w:t>
            </w:r>
            <w:r w:rsidRPr="00D51AE5">
              <w:rPr>
                <w:rFonts w:ascii="Arial" w:hAnsi="Arial" w:cs="Arial"/>
                <w:spacing w:val="40"/>
              </w:rPr>
              <w:t xml:space="preserve"> </w:t>
            </w:r>
            <w:r w:rsidRPr="00D51AE5">
              <w:rPr>
                <w:rFonts w:ascii="Arial" w:hAnsi="Arial" w:cs="Arial"/>
                <w:spacing w:val="-4"/>
              </w:rPr>
              <w:t>on:</w:t>
            </w:r>
          </w:p>
        </w:tc>
        <w:tc>
          <w:tcPr>
            <w:tcW w:w="3590" w:type="dxa"/>
          </w:tcPr>
          <w:p w14:paraId="29D2AE18" w14:textId="77777777" w:rsidR="00CF520D" w:rsidRPr="00D51AE5" w:rsidRDefault="00CF520D" w:rsidP="000F3600">
            <w:pPr>
              <w:contextualSpacing/>
              <w:jc w:val="both"/>
              <w:rPr>
                <w:rFonts w:ascii="Arial" w:hAnsi="Arial" w:cs="Arial"/>
                <w:b/>
              </w:rPr>
            </w:pPr>
          </w:p>
        </w:tc>
        <w:tc>
          <w:tcPr>
            <w:tcW w:w="4267" w:type="dxa"/>
          </w:tcPr>
          <w:p w14:paraId="5F1CFAEE" w14:textId="77777777" w:rsidR="00CF520D" w:rsidRPr="00D51AE5" w:rsidRDefault="00CF520D" w:rsidP="000F3600">
            <w:pPr>
              <w:contextualSpacing/>
              <w:jc w:val="both"/>
              <w:rPr>
                <w:rFonts w:ascii="Arial" w:hAnsi="Arial" w:cs="Arial"/>
                <w:b/>
              </w:rPr>
            </w:pPr>
          </w:p>
        </w:tc>
      </w:tr>
      <w:tr w:rsidR="00CF520D" w:rsidRPr="00D51AE5" w14:paraId="767D690F" w14:textId="4206446B" w:rsidTr="007639A7">
        <w:tc>
          <w:tcPr>
            <w:tcW w:w="6044" w:type="dxa"/>
          </w:tcPr>
          <w:p w14:paraId="0BFFFC44" w14:textId="77777777" w:rsidR="00CF520D" w:rsidRPr="00D51AE5" w:rsidRDefault="00CF520D" w:rsidP="000F3600">
            <w:pPr>
              <w:pStyle w:val="NoSpacing"/>
              <w:numPr>
                <w:ilvl w:val="1"/>
                <w:numId w:val="3"/>
              </w:numPr>
              <w:contextualSpacing/>
              <w:jc w:val="both"/>
              <w:rPr>
                <w:spacing w:val="-2"/>
              </w:rPr>
            </w:pPr>
            <w:r w:rsidRPr="00D51AE5">
              <w:t>The</w:t>
            </w:r>
            <w:r w:rsidRPr="00D51AE5">
              <w:rPr>
                <w:spacing w:val="-6"/>
              </w:rPr>
              <w:t xml:space="preserve"> </w:t>
            </w:r>
            <w:r w:rsidRPr="00D51AE5">
              <w:t>pre-application,</w:t>
            </w:r>
            <w:r w:rsidRPr="00D51AE5">
              <w:rPr>
                <w:spacing w:val="-3"/>
              </w:rPr>
              <w:t xml:space="preserve"> </w:t>
            </w:r>
            <w:r w:rsidRPr="00D51AE5">
              <w:t>application,</w:t>
            </w:r>
            <w:r w:rsidRPr="00D51AE5">
              <w:rPr>
                <w:spacing w:val="-3"/>
              </w:rPr>
              <w:t xml:space="preserve"> </w:t>
            </w:r>
            <w:r w:rsidRPr="00D51AE5">
              <w:t>and</w:t>
            </w:r>
            <w:r w:rsidRPr="00D51AE5">
              <w:rPr>
                <w:spacing w:val="-5"/>
              </w:rPr>
              <w:t xml:space="preserve"> </w:t>
            </w:r>
            <w:r w:rsidRPr="00D51AE5">
              <w:t>award</w:t>
            </w:r>
            <w:r w:rsidRPr="00D51AE5">
              <w:rPr>
                <w:spacing w:val="-6"/>
              </w:rPr>
              <w:t xml:space="preserve"> </w:t>
            </w:r>
            <w:r w:rsidRPr="00D51AE5">
              <w:t>of</w:t>
            </w:r>
            <w:r w:rsidRPr="00D51AE5">
              <w:rPr>
                <w:spacing w:val="-2"/>
              </w:rPr>
              <w:t xml:space="preserve"> </w:t>
            </w:r>
            <w:r w:rsidRPr="00D51AE5">
              <w:t>RE</w:t>
            </w:r>
            <w:r w:rsidRPr="00D51AE5">
              <w:rPr>
                <w:spacing w:val="-3"/>
              </w:rPr>
              <w:t xml:space="preserve"> </w:t>
            </w:r>
            <w:r w:rsidRPr="00D51AE5">
              <w:rPr>
                <w:spacing w:val="-2"/>
              </w:rPr>
              <w:t>Contracts;</w:t>
            </w:r>
          </w:p>
        </w:tc>
        <w:tc>
          <w:tcPr>
            <w:tcW w:w="3590" w:type="dxa"/>
          </w:tcPr>
          <w:p w14:paraId="0A8E9F94" w14:textId="77777777" w:rsidR="00CF520D" w:rsidRPr="00D51AE5" w:rsidRDefault="00CF520D" w:rsidP="006C4239">
            <w:pPr>
              <w:pStyle w:val="NoSpacing"/>
              <w:ind w:left="1080"/>
              <w:contextualSpacing/>
              <w:jc w:val="both"/>
            </w:pPr>
          </w:p>
        </w:tc>
        <w:tc>
          <w:tcPr>
            <w:tcW w:w="4267" w:type="dxa"/>
          </w:tcPr>
          <w:p w14:paraId="057B8B8D" w14:textId="77777777" w:rsidR="00CF520D" w:rsidRPr="00D51AE5" w:rsidRDefault="00CF520D" w:rsidP="006C4239">
            <w:pPr>
              <w:pStyle w:val="NoSpacing"/>
              <w:ind w:left="1080"/>
              <w:contextualSpacing/>
              <w:jc w:val="both"/>
            </w:pPr>
          </w:p>
        </w:tc>
      </w:tr>
      <w:tr w:rsidR="006C4239" w:rsidRPr="00D51AE5" w14:paraId="3A35E417" w14:textId="41760ECB" w:rsidTr="007639A7">
        <w:tc>
          <w:tcPr>
            <w:tcW w:w="6044" w:type="dxa"/>
          </w:tcPr>
          <w:p w14:paraId="0ADF791C" w14:textId="77777777" w:rsidR="006C4239" w:rsidRPr="00D51AE5" w:rsidRDefault="006C4239" w:rsidP="006C4239">
            <w:pPr>
              <w:pStyle w:val="NoSpacing"/>
              <w:numPr>
                <w:ilvl w:val="1"/>
                <w:numId w:val="3"/>
              </w:numPr>
              <w:contextualSpacing/>
              <w:jc w:val="both"/>
              <w:rPr>
                <w:spacing w:val="-2"/>
              </w:rPr>
            </w:pPr>
            <w:r w:rsidRPr="00D51AE5">
              <w:t>The conversion of existing service contracts to RE Contracts for the exploration, development or utilization of RE resources with the DOE, subject to Section 39, Rule 13, of the IRR of the RE Act;</w:t>
            </w:r>
          </w:p>
        </w:tc>
        <w:tc>
          <w:tcPr>
            <w:tcW w:w="3590" w:type="dxa"/>
          </w:tcPr>
          <w:p w14:paraId="7C33549B" w14:textId="77777777" w:rsidR="006C4239" w:rsidRPr="00D51AE5" w:rsidRDefault="006C4239" w:rsidP="006C4239">
            <w:pPr>
              <w:pStyle w:val="NoSpacing"/>
              <w:ind w:left="1080"/>
              <w:contextualSpacing/>
              <w:jc w:val="both"/>
            </w:pPr>
          </w:p>
        </w:tc>
        <w:tc>
          <w:tcPr>
            <w:tcW w:w="4267" w:type="dxa"/>
          </w:tcPr>
          <w:p w14:paraId="69225D02" w14:textId="77777777" w:rsidR="006C4239" w:rsidRPr="00D51AE5" w:rsidRDefault="006C4239" w:rsidP="006C4239">
            <w:pPr>
              <w:pStyle w:val="NoSpacing"/>
              <w:ind w:left="1080"/>
              <w:contextualSpacing/>
              <w:jc w:val="both"/>
            </w:pPr>
          </w:p>
        </w:tc>
      </w:tr>
      <w:tr w:rsidR="006C4239" w:rsidRPr="00D51AE5" w14:paraId="4C2E9ADD" w14:textId="53BBA408" w:rsidTr="007639A7">
        <w:tc>
          <w:tcPr>
            <w:tcW w:w="6044" w:type="dxa"/>
          </w:tcPr>
          <w:p w14:paraId="2A6DAA64" w14:textId="77777777" w:rsidR="006C4239" w:rsidRPr="00D51AE5" w:rsidRDefault="006C4239" w:rsidP="006C4239">
            <w:pPr>
              <w:pStyle w:val="NoSpacing"/>
              <w:numPr>
                <w:ilvl w:val="1"/>
                <w:numId w:val="3"/>
              </w:numPr>
              <w:contextualSpacing/>
              <w:jc w:val="both"/>
              <w:rPr>
                <w:spacing w:val="-2"/>
              </w:rPr>
            </w:pPr>
            <w:r w:rsidRPr="00D51AE5">
              <w:t>The issuance by the DOE of Certificates of Registration (COR) for RE Developers of projects with or without RE Contracts; and</w:t>
            </w:r>
          </w:p>
        </w:tc>
        <w:tc>
          <w:tcPr>
            <w:tcW w:w="3590" w:type="dxa"/>
          </w:tcPr>
          <w:p w14:paraId="668B4605" w14:textId="77777777" w:rsidR="006C4239" w:rsidRPr="00D51AE5" w:rsidRDefault="006C4239" w:rsidP="006C4239">
            <w:pPr>
              <w:pStyle w:val="NoSpacing"/>
              <w:ind w:left="1080"/>
              <w:contextualSpacing/>
              <w:jc w:val="both"/>
            </w:pPr>
          </w:p>
        </w:tc>
        <w:tc>
          <w:tcPr>
            <w:tcW w:w="4267" w:type="dxa"/>
          </w:tcPr>
          <w:p w14:paraId="60909C53" w14:textId="77777777" w:rsidR="006C4239" w:rsidRPr="00D51AE5" w:rsidRDefault="006C4239" w:rsidP="006C4239">
            <w:pPr>
              <w:pStyle w:val="NoSpacing"/>
              <w:ind w:left="1080"/>
              <w:contextualSpacing/>
              <w:jc w:val="both"/>
            </w:pPr>
          </w:p>
        </w:tc>
      </w:tr>
      <w:tr w:rsidR="006C4239" w:rsidRPr="00D51AE5" w14:paraId="23162017" w14:textId="114E537C" w:rsidTr="007639A7">
        <w:tc>
          <w:tcPr>
            <w:tcW w:w="6044" w:type="dxa"/>
          </w:tcPr>
          <w:p w14:paraId="202413BE" w14:textId="77777777" w:rsidR="006C4239" w:rsidRPr="00D51AE5" w:rsidRDefault="006C4239" w:rsidP="006C4239">
            <w:pPr>
              <w:pStyle w:val="NoSpacing"/>
              <w:numPr>
                <w:ilvl w:val="1"/>
                <w:numId w:val="3"/>
              </w:numPr>
              <w:contextualSpacing/>
              <w:jc w:val="both"/>
              <w:rPr>
                <w:spacing w:val="-2"/>
              </w:rPr>
            </w:pPr>
            <w:r w:rsidRPr="00D51AE5">
              <w:t>The administration of RE Contracts.</w:t>
            </w:r>
          </w:p>
        </w:tc>
        <w:tc>
          <w:tcPr>
            <w:tcW w:w="3590" w:type="dxa"/>
          </w:tcPr>
          <w:p w14:paraId="71FB1B2F" w14:textId="77777777" w:rsidR="006C4239" w:rsidRPr="00D51AE5" w:rsidRDefault="006C4239" w:rsidP="006C4239">
            <w:pPr>
              <w:pStyle w:val="NoSpacing"/>
              <w:ind w:left="1080"/>
              <w:contextualSpacing/>
              <w:jc w:val="both"/>
            </w:pPr>
          </w:p>
        </w:tc>
        <w:tc>
          <w:tcPr>
            <w:tcW w:w="4267" w:type="dxa"/>
          </w:tcPr>
          <w:p w14:paraId="04E57885" w14:textId="77777777" w:rsidR="006C4239" w:rsidRPr="00D51AE5" w:rsidRDefault="006C4239" w:rsidP="006C4239">
            <w:pPr>
              <w:pStyle w:val="NoSpacing"/>
              <w:ind w:left="720"/>
              <w:contextualSpacing/>
              <w:jc w:val="both"/>
            </w:pPr>
          </w:p>
        </w:tc>
      </w:tr>
      <w:tr w:rsidR="006C4239" w:rsidRPr="00D51AE5" w14:paraId="30C01031" w14:textId="7D269389" w:rsidTr="007639A7">
        <w:tc>
          <w:tcPr>
            <w:tcW w:w="6044" w:type="dxa"/>
          </w:tcPr>
          <w:p w14:paraId="016C3F2B" w14:textId="77777777" w:rsidR="006C4239" w:rsidRPr="00D51AE5" w:rsidRDefault="006C4239" w:rsidP="006C4239">
            <w:pPr>
              <w:widowControl w:val="0"/>
              <w:tabs>
                <w:tab w:val="left" w:pos="821"/>
              </w:tabs>
              <w:autoSpaceDE w:val="0"/>
              <w:autoSpaceDN w:val="0"/>
              <w:jc w:val="both"/>
              <w:rPr>
                <w:rFonts w:ascii="Arial" w:hAnsi="Arial" w:cs="Arial"/>
              </w:rPr>
            </w:pPr>
            <w:r w:rsidRPr="00D51AE5">
              <w:rPr>
                <w:rFonts w:ascii="Arial" w:hAnsi="Arial" w:cs="Arial"/>
                <w:b/>
              </w:rPr>
              <w:t>Section 3.</w:t>
            </w:r>
            <w:r w:rsidRPr="00D51AE5">
              <w:rPr>
                <w:rFonts w:ascii="Arial" w:hAnsi="Arial" w:cs="Arial"/>
                <w:b/>
                <w:spacing w:val="-1"/>
              </w:rPr>
              <w:t xml:space="preserve"> </w:t>
            </w:r>
            <w:r w:rsidRPr="00D51AE5">
              <w:rPr>
                <w:rFonts w:ascii="Arial" w:hAnsi="Arial" w:cs="Arial"/>
                <w:b/>
              </w:rPr>
              <w:t>Definition</w:t>
            </w:r>
            <w:r w:rsidRPr="00D51AE5">
              <w:rPr>
                <w:rFonts w:ascii="Arial" w:hAnsi="Arial" w:cs="Arial"/>
                <w:b/>
                <w:spacing w:val="-2"/>
              </w:rPr>
              <w:t xml:space="preserve"> </w:t>
            </w:r>
            <w:r w:rsidRPr="00D51AE5">
              <w:rPr>
                <w:rFonts w:ascii="Arial" w:hAnsi="Arial" w:cs="Arial"/>
                <w:b/>
              </w:rPr>
              <w:t>of</w:t>
            </w:r>
            <w:r w:rsidRPr="00D51AE5">
              <w:rPr>
                <w:rFonts w:ascii="Arial" w:hAnsi="Arial" w:cs="Arial"/>
                <w:b/>
                <w:spacing w:val="-7"/>
              </w:rPr>
              <w:t xml:space="preserve"> </w:t>
            </w:r>
            <w:r w:rsidRPr="00D51AE5">
              <w:rPr>
                <w:rFonts w:ascii="Arial" w:hAnsi="Arial" w:cs="Arial"/>
                <w:b/>
              </w:rPr>
              <w:t xml:space="preserve">Terms. </w:t>
            </w:r>
            <w:r w:rsidRPr="00D51AE5">
              <w:rPr>
                <w:rFonts w:ascii="Arial" w:hAnsi="Arial" w:cs="Arial"/>
              </w:rPr>
              <w:t>As</w:t>
            </w:r>
            <w:r w:rsidRPr="00D51AE5">
              <w:rPr>
                <w:rFonts w:ascii="Arial" w:hAnsi="Arial" w:cs="Arial"/>
                <w:spacing w:val="-3"/>
              </w:rPr>
              <w:t xml:space="preserve"> </w:t>
            </w:r>
            <w:r w:rsidRPr="00D51AE5">
              <w:rPr>
                <w:rFonts w:ascii="Arial" w:hAnsi="Arial" w:cs="Arial"/>
              </w:rPr>
              <w:t>used</w:t>
            </w:r>
            <w:r w:rsidRPr="00D51AE5">
              <w:rPr>
                <w:rFonts w:ascii="Arial" w:hAnsi="Arial" w:cs="Arial"/>
                <w:spacing w:val="-1"/>
              </w:rPr>
              <w:t xml:space="preserve"> </w:t>
            </w:r>
            <w:r w:rsidRPr="00D51AE5">
              <w:rPr>
                <w:rFonts w:ascii="Arial" w:hAnsi="Arial" w:cs="Arial"/>
              </w:rPr>
              <w:t>in</w:t>
            </w:r>
            <w:r w:rsidRPr="00D51AE5">
              <w:rPr>
                <w:rFonts w:ascii="Arial" w:hAnsi="Arial" w:cs="Arial"/>
                <w:spacing w:val="-1"/>
              </w:rPr>
              <w:t xml:space="preserve"> </w:t>
            </w:r>
            <w:r w:rsidRPr="00D51AE5">
              <w:rPr>
                <w:rFonts w:ascii="Arial" w:hAnsi="Arial" w:cs="Arial"/>
              </w:rPr>
              <w:t>this Circular and</w:t>
            </w:r>
            <w:r w:rsidRPr="00D51AE5">
              <w:rPr>
                <w:rFonts w:ascii="Arial" w:hAnsi="Arial" w:cs="Arial"/>
                <w:spacing w:val="-1"/>
              </w:rPr>
              <w:t xml:space="preserve"> </w:t>
            </w:r>
            <w:r w:rsidRPr="00D51AE5">
              <w:rPr>
                <w:rFonts w:ascii="Arial" w:hAnsi="Arial" w:cs="Arial"/>
              </w:rPr>
              <w:t>in</w:t>
            </w:r>
            <w:r w:rsidRPr="00D51AE5">
              <w:rPr>
                <w:rFonts w:ascii="Arial" w:hAnsi="Arial" w:cs="Arial"/>
                <w:spacing w:val="-1"/>
              </w:rPr>
              <w:t xml:space="preserve"> </w:t>
            </w:r>
            <w:r w:rsidRPr="00D51AE5">
              <w:rPr>
                <w:rFonts w:ascii="Arial" w:hAnsi="Arial" w:cs="Arial"/>
              </w:rPr>
              <w:t>other issuance</w:t>
            </w:r>
            <w:r w:rsidRPr="00D51AE5">
              <w:rPr>
                <w:rFonts w:ascii="Arial" w:hAnsi="Arial" w:cs="Arial"/>
                <w:spacing w:val="-1"/>
              </w:rPr>
              <w:t xml:space="preserve"> </w:t>
            </w:r>
            <w:r w:rsidRPr="00D51AE5">
              <w:rPr>
                <w:rFonts w:ascii="Arial" w:hAnsi="Arial" w:cs="Arial"/>
              </w:rPr>
              <w:t>of the DOE, the following terms shall be understood to mean, as follows:</w:t>
            </w:r>
          </w:p>
        </w:tc>
        <w:tc>
          <w:tcPr>
            <w:tcW w:w="3590" w:type="dxa"/>
          </w:tcPr>
          <w:p w14:paraId="068194D0" w14:textId="77777777" w:rsidR="006C4239" w:rsidRPr="00D51AE5" w:rsidRDefault="006C4239" w:rsidP="006C4239">
            <w:pPr>
              <w:widowControl w:val="0"/>
              <w:tabs>
                <w:tab w:val="left" w:pos="821"/>
              </w:tabs>
              <w:autoSpaceDE w:val="0"/>
              <w:autoSpaceDN w:val="0"/>
              <w:jc w:val="both"/>
              <w:rPr>
                <w:rFonts w:ascii="Arial" w:hAnsi="Arial" w:cs="Arial"/>
                <w:b/>
              </w:rPr>
            </w:pPr>
          </w:p>
        </w:tc>
        <w:tc>
          <w:tcPr>
            <w:tcW w:w="4267" w:type="dxa"/>
          </w:tcPr>
          <w:p w14:paraId="4BF6F26B" w14:textId="77777777" w:rsidR="006C4239" w:rsidRPr="00D51AE5" w:rsidRDefault="006C4239" w:rsidP="006C4239">
            <w:pPr>
              <w:widowControl w:val="0"/>
              <w:tabs>
                <w:tab w:val="left" w:pos="821"/>
              </w:tabs>
              <w:autoSpaceDE w:val="0"/>
              <w:autoSpaceDN w:val="0"/>
              <w:jc w:val="both"/>
              <w:rPr>
                <w:rFonts w:ascii="Arial" w:hAnsi="Arial" w:cs="Arial"/>
                <w:b/>
              </w:rPr>
            </w:pPr>
          </w:p>
        </w:tc>
      </w:tr>
      <w:tr w:rsidR="006C4239" w:rsidRPr="00D51AE5" w14:paraId="6FF11531" w14:textId="65EA41AE" w:rsidTr="007639A7">
        <w:tc>
          <w:tcPr>
            <w:tcW w:w="6044" w:type="dxa"/>
          </w:tcPr>
          <w:p w14:paraId="5339EAC9"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“Biomass Energy Operating Contract” </w:t>
            </w:r>
            <w:r w:rsidRPr="00D51AE5">
              <w:t xml:space="preserve">or </w:t>
            </w:r>
            <w:r w:rsidRPr="00D51AE5">
              <w:rPr>
                <w:i/>
              </w:rPr>
              <w:t xml:space="preserve">“BEOC” </w:t>
            </w:r>
            <w:r w:rsidRPr="00D51AE5">
              <w:t>refers to the RE</w:t>
            </w:r>
            <w:r w:rsidRPr="00D51AE5">
              <w:rPr>
                <w:spacing w:val="40"/>
              </w:rPr>
              <w:t xml:space="preserve"> </w:t>
            </w:r>
            <w:r w:rsidRPr="00D51AE5">
              <w:t>Contract issued for the development and operation of RE Projects utilizing biomass as RE Resource.</w:t>
            </w:r>
          </w:p>
        </w:tc>
        <w:tc>
          <w:tcPr>
            <w:tcW w:w="3590" w:type="dxa"/>
          </w:tcPr>
          <w:p w14:paraId="73E4CC90"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66E69A28"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3DFD7E9D" w14:textId="15209DD0" w:rsidTr="007639A7">
        <w:tc>
          <w:tcPr>
            <w:tcW w:w="6044" w:type="dxa"/>
          </w:tcPr>
          <w:p w14:paraId="5B9D561D"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“Blocking System” </w:t>
            </w:r>
            <w:r w:rsidRPr="00D51AE5">
              <w:t>refers to the subdivision of the Philippines, for</w:t>
            </w:r>
            <w:r w:rsidRPr="00D51AE5">
              <w:rPr>
                <w:spacing w:val="40"/>
              </w:rPr>
              <w:t xml:space="preserve"> </w:t>
            </w:r>
            <w:r w:rsidRPr="00D51AE5">
              <w:t>purposes of RE Applications for wind, geothermal and ocean resources, into RE meridional</w:t>
            </w:r>
            <w:r w:rsidRPr="00D51AE5">
              <w:rPr>
                <w:spacing w:val="-1"/>
              </w:rPr>
              <w:t xml:space="preserve"> </w:t>
            </w:r>
            <w:r w:rsidRPr="00D51AE5">
              <w:t>blocks (RE blocks) of 30</w:t>
            </w:r>
            <w:r w:rsidRPr="00D51AE5">
              <w:rPr>
                <w:spacing w:val="-1"/>
              </w:rPr>
              <w:t xml:space="preserve"> </w:t>
            </w:r>
            <w:r w:rsidRPr="00D51AE5">
              <w:t>seconds of latitude</w:t>
            </w:r>
            <w:r w:rsidRPr="00D51AE5">
              <w:rPr>
                <w:spacing w:val="-1"/>
              </w:rPr>
              <w:t xml:space="preserve"> </w:t>
            </w:r>
            <w:r w:rsidRPr="00D51AE5">
              <w:t>and</w:t>
            </w:r>
            <w:r w:rsidRPr="00D51AE5">
              <w:rPr>
                <w:spacing w:val="-1"/>
              </w:rPr>
              <w:t xml:space="preserve"> </w:t>
            </w:r>
            <w:r w:rsidRPr="00D51AE5">
              <w:t>30</w:t>
            </w:r>
            <w:r w:rsidRPr="00D51AE5">
              <w:rPr>
                <w:spacing w:val="-1"/>
              </w:rPr>
              <w:t xml:space="preserve"> </w:t>
            </w:r>
            <w:r w:rsidRPr="00D51AE5">
              <w:t xml:space="preserve">seconds of longitude using Philippine Reference System of 1992 (PRS’92) as the standard reference system. One (1) RE </w:t>
            </w:r>
            <w:r w:rsidRPr="00D51AE5">
              <w:lastRenderedPageBreak/>
              <w:t>block shall have an approximate area of eighty-one (81) hectares. Each block shall have a unique number designated by the DOE.</w:t>
            </w:r>
          </w:p>
        </w:tc>
        <w:tc>
          <w:tcPr>
            <w:tcW w:w="3590" w:type="dxa"/>
          </w:tcPr>
          <w:p w14:paraId="4DFCD59D"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1F52F707"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5057B36E" w14:textId="449764D9" w:rsidTr="007639A7">
        <w:tc>
          <w:tcPr>
            <w:tcW w:w="6044" w:type="dxa"/>
          </w:tcPr>
          <w:p w14:paraId="5C1FF06F"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“Certificate of Authority” </w:t>
            </w:r>
            <w:r w:rsidRPr="00D51AE5">
              <w:rPr>
                <w:iCs/>
              </w:rPr>
              <w:t>refers to the certificate duly signed by the DOE Secretary exclusively authorizing an RE Developer to procure the necessary permits and tenurial instruments for the exploration, development, construction and installation, and commercial operation of the RE Project and conduct reconnaissance and other activities needed for pre-feasibility studies.</w:t>
            </w:r>
          </w:p>
        </w:tc>
        <w:tc>
          <w:tcPr>
            <w:tcW w:w="3590" w:type="dxa"/>
          </w:tcPr>
          <w:p w14:paraId="746BDAEF"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7F04AA47"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0B5E5DC8" w14:textId="5E59AF41" w:rsidTr="007639A7">
        <w:tc>
          <w:tcPr>
            <w:tcW w:w="6044" w:type="dxa"/>
          </w:tcPr>
          <w:p w14:paraId="04ECCC18"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“Certificate of Confirmation of Commerciality” </w:t>
            </w:r>
            <w:r w:rsidRPr="00D51AE5">
              <w:t xml:space="preserve">or </w:t>
            </w:r>
            <w:r w:rsidRPr="00D51AE5">
              <w:rPr>
                <w:i/>
              </w:rPr>
              <w:t xml:space="preserve">“COCOC” </w:t>
            </w:r>
            <w:r w:rsidRPr="00D51AE5">
              <w:t>refers to the certificate duly signed by the DOE Secretary confirming the Declaration of Commerciality by the</w:t>
            </w:r>
            <w:r w:rsidRPr="00D51AE5">
              <w:rPr>
                <w:spacing w:val="-1"/>
              </w:rPr>
              <w:t xml:space="preserve"> </w:t>
            </w:r>
            <w:r w:rsidRPr="00D51AE5">
              <w:t>RE Developer and</w:t>
            </w:r>
            <w:r w:rsidRPr="00D51AE5">
              <w:rPr>
                <w:spacing w:val="-1"/>
              </w:rPr>
              <w:t xml:space="preserve"> </w:t>
            </w:r>
            <w:r w:rsidRPr="00D51AE5">
              <w:t>shall</w:t>
            </w:r>
            <w:r w:rsidRPr="00D51AE5">
              <w:rPr>
                <w:spacing w:val="-1"/>
              </w:rPr>
              <w:t xml:space="preserve"> </w:t>
            </w:r>
            <w:r w:rsidRPr="00D51AE5">
              <w:t>serve</w:t>
            </w:r>
            <w:r w:rsidRPr="00D51AE5">
              <w:rPr>
                <w:spacing w:val="-1"/>
              </w:rPr>
              <w:t xml:space="preserve"> </w:t>
            </w:r>
            <w:r w:rsidRPr="00D51AE5">
              <w:t>as a notice to proceed for the construction of the RE Project or the installation of the RE Facilities. The date of issuance of the COCOC shall be considered as the commencement date of the Development Stage of the RE Project.</w:t>
            </w:r>
          </w:p>
        </w:tc>
        <w:tc>
          <w:tcPr>
            <w:tcW w:w="3590" w:type="dxa"/>
          </w:tcPr>
          <w:p w14:paraId="6FA60133"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31A527C2"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1A3E8D3B" w14:textId="246223B1" w:rsidTr="007639A7">
        <w:tc>
          <w:tcPr>
            <w:tcW w:w="6044" w:type="dxa"/>
          </w:tcPr>
          <w:p w14:paraId="3F32C864"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“Commercial Operations” </w:t>
            </w:r>
            <w:r w:rsidRPr="00D51AE5">
              <w:t>refers to the phase commencing at the</w:t>
            </w:r>
            <w:r w:rsidRPr="00D51AE5">
              <w:rPr>
                <w:spacing w:val="40"/>
              </w:rPr>
              <w:t xml:space="preserve"> </w:t>
            </w:r>
            <w:r w:rsidRPr="00D51AE5">
              <w:t>operation of the RE Project, following its successful testing and commissioning, and confirming its readiness to inject power into the grid to</w:t>
            </w:r>
            <w:r w:rsidRPr="00D51AE5">
              <w:rPr>
                <w:spacing w:val="40"/>
              </w:rPr>
              <w:t xml:space="preserve"> </w:t>
            </w:r>
            <w:r w:rsidRPr="00D51AE5">
              <w:t>sell or supply its produced energy, as duly confirmed by the DOE and other relevant regulatory bodies.</w:t>
            </w:r>
          </w:p>
        </w:tc>
        <w:tc>
          <w:tcPr>
            <w:tcW w:w="3590" w:type="dxa"/>
          </w:tcPr>
          <w:p w14:paraId="1A18EDCA"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640006A7"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494B75B6" w14:textId="70414B83" w:rsidTr="007639A7">
        <w:tc>
          <w:tcPr>
            <w:tcW w:w="6044" w:type="dxa"/>
          </w:tcPr>
          <w:p w14:paraId="44534359"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lastRenderedPageBreak/>
              <w:t xml:space="preserve">“Commercial Quantities” </w:t>
            </w:r>
            <w:r w:rsidRPr="00D51AE5">
              <w:t>refers to quantities of energy to be produced from the</w:t>
            </w:r>
            <w:r w:rsidRPr="00D51AE5">
              <w:rPr>
                <w:spacing w:val="-2"/>
              </w:rPr>
              <w:t xml:space="preserve"> </w:t>
            </w:r>
            <w:r w:rsidRPr="00D51AE5">
              <w:t>RE Resources using</w:t>
            </w:r>
            <w:r w:rsidRPr="00D51AE5">
              <w:rPr>
                <w:spacing w:val="-2"/>
              </w:rPr>
              <w:t xml:space="preserve"> </w:t>
            </w:r>
            <w:r w:rsidRPr="00D51AE5">
              <w:t>commercially available</w:t>
            </w:r>
            <w:r w:rsidRPr="00D51AE5">
              <w:rPr>
                <w:spacing w:val="-2"/>
              </w:rPr>
              <w:t xml:space="preserve"> </w:t>
            </w:r>
            <w:r w:rsidRPr="00D51AE5">
              <w:t>technology to</w:t>
            </w:r>
            <w:r w:rsidRPr="00D51AE5">
              <w:rPr>
                <w:spacing w:val="-2"/>
              </w:rPr>
              <w:t xml:space="preserve"> </w:t>
            </w:r>
            <w:r w:rsidRPr="00D51AE5">
              <w:t>develop</w:t>
            </w:r>
            <w:r w:rsidRPr="00D51AE5">
              <w:rPr>
                <w:spacing w:val="-2"/>
              </w:rPr>
              <w:t xml:space="preserve"> </w:t>
            </w:r>
            <w:r w:rsidRPr="00D51AE5">
              <w:t>the</w:t>
            </w:r>
            <w:r w:rsidRPr="00D51AE5">
              <w:rPr>
                <w:spacing w:val="-2"/>
              </w:rPr>
              <w:t xml:space="preserve"> </w:t>
            </w:r>
            <w:r w:rsidRPr="00D51AE5">
              <w:t>RE Systems which have a reasonable chance of being sufficient and technically compliant to support the Commercial Operations of the project.</w:t>
            </w:r>
          </w:p>
        </w:tc>
        <w:tc>
          <w:tcPr>
            <w:tcW w:w="3590" w:type="dxa"/>
          </w:tcPr>
          <w:p w14:paraId="66212F50"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13FAE37E"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6D7C58B7" w14:textId="5DF8A4A5" w:rsidTr="007639A7">
        <w:tc>
          <w:tcPr>
            <w:tcW w:w="6044" w:type="dxa"/>
          </w:tcPr>
          <w:p w14:paraId="3F104037"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“Contract Area” </w:t>
            </w:r>
            <w:r w:rsidRPr="00D51AE5">
              <w:t>refers to the total area, which is the subject of the RE Contract as detailed</w:t>
            </w:r>
            <w:r w:rsidRPr="00D51AE5">
              <w:rPr>
                <w:spacing w:val="-1"/>
              </w:rPr>
              <w:t xml:space="preserve"> </w:t>
            </w:r>
            <w:r w:rsidRPr="00D51AE5">
              <w:t>and</w:t>
            </w:r>
            <w:r w:rsidRPr="00D51AE5">
              <w:rPr>
                <w:spacing w:val="-1"/>
              </w:rPr>
              <w:t xml:space="preserve"> </w:t>
            </w:r>
            <w:r w:rsidRPr="00D51AE5">
              <w:t>outlined</w:t>
            </w:r>
            <w:r w:rsidRPr="00D51AE5">
              <w:rPr>
                <w:spacing w:val="-1"/>
              </w:rPr>
              <w:t xml:space="preserve"> </w:t>
            </w:r>
            <w:r w:rsidRPr="00D51AE5">
              <w:t>in</w:t>
            </w:r>
            <w:r w:rsidRPr="00D51AE5">
              <w:rPr>
                <w:spacing w:val="-1"/>
              </w:rPr>
              <w:t xml:space="preserve"> </w:t>
            </w:r>
            <w:r w:rsidRPr="00D51AE5">
              <w:t>the</w:t>
            </w:r>
            <w:r w:rsidRPr="00D51AE5">
              <w:rPr>
                <w:spacing w:val="-1"/>
              </w:rPr>
              <w:t xml:space="preserve"> </w:t>
            </w:r>
            <w:r w:rsidRPr="00D51AE5">
              <w:t>map</w:t>
            </w:r>
            <w:r w:rsidRPr="00D51AE5">
              <w:rPr>
                <w:spacing w:val="-1"/>
              </w:rPr>
              <w:t xml:space="preserve"> </w:t>
            </w:r>
            <w:r w:rsidRPr="00D51AE5">
              <w:t>with</w:t>
            </w:r>
            <w:r w:rsidRPr="00D51AE5">
              <w:rPr>
                <w:spacing w:val="-1"/>
              </w:rPr>
              <w:t xml:space="preserve"> </w:t>
            </w:r>
            <w:r w:rsidRPr="00D51AE5">
              <w:t>its technical</w:t>
            </w:r>
            <w:r w:rsidRPr="00D51AE5">
              <w:rPr>
                <w:spacing w:val="-1"/>
              </w:rPr>
              <w:t xml:space="preserve"> </w:t>
            </w:r>
            <w:r w:rsidRPr="00D51AE5">
              <w:t>description, and where</w:t>
            </w:r>
            <w:r w:rsidRPr="00D51AE5">
              <w:rPr>
                <w:spacing w:val="-4"/>
              </w:rPr>
              <w:t xml:space="preserve"> </w:t>
            </w:r>
            <w:r w:rsidRPr="00D51AE5">
              <w:t>the</w:t>
            </w:r>
            <w:r w:rsidRPr="00D51AE5">
              <w:rPr>
                <w:spacing w:val="-4"/>
              </w:rPr>
              <w:t xml:space="preserve"> </w:t>
            </w:r>
            <w:r w:rsidRPr="00D51AE5">
              <w:t>RE</w:t>
            </w:r>
            <w:r w:rsidRPr="00D51AE5">
              <w:rPr>
                <w:spacing w:val="-2"/>
              </w:rPr>
              <w:t xml:space="preserve"> </w:t>
            </w:r>
            <w:r w:rsidRPr="00D51AE5">
              <w:t>Developer</w:t>
            </w:r>
            <w:r w:rsidRPr="00D51AE5">
              <w:rPr>
                <w:spacing w:val="-2"/>
              </w:rPr>
              <w:t xml:space="preserve"> </w:t>
            </w:r>
            <w:r w:rsidRPr="00D51AE5">
              <w:t>has</w:t>
            </w:r>
            <w:r w:rsidRPr="00D51AE5">
              <w:rPr>
                <w:spacing w:val="-2"/>
              </w:rPr>
              <w:t xml:space="preserve"> </w:t>
            </w:r>
            <w:r w:rsidRPr="00D51AE5">
              <w:t>the</w:t>
            </w:r>
            <w:r w:rsidRPr="00D51AE5">
              <w:rPr>
                <w:spacing w:val="-4"/>
              </w:rPr>
              <w:t xml:space="preserve"> </w:t>
            </w:r>
            <w:r w:rsidRPr="00D51AE5">
              <w:t>exclusive</w:t>
            </w:r>
            <w:r w:rsidRPr="00D51AE5">
              <w:rPr>
                <w:spacing w:val="-4"/>
              </w:rPr>
              <w:t xml:space="preserve"> </w:t>
            </w:r>
            <w:r w:rsidRPr="00D51AE5">
              <w:t>right</w:t>
            </w:r>
            <w:r w:rsidRPr="00D51AE5">
              <w:rPr>
                <w:spacing w:val="-1"/>
              </w:rPr>
              <w:t xml:space="preserve"> </w:t>
            </w:r>
            <w:r w:rsidRPr="00D51AE5">
              <w:t>to</w:t>
            </w:r>
            <w:r w:rsidRPr="00D51AE5">
              <w:rPr>
                <w:spacing w:val="-4"/>
              </w:rPr>
              <w:t xml:space="preserve"> </w:t>
            </w:r>
            <w:r w:rsidRPr="00D51AE5">
              <w:t>explore,</w:t>
            </w:r>
            <w:r w:rsidRPr="00D51AE5">
              <w:rPr>
                <w:spacing w:val="-2"/>
              </w:rPr>
              <w:t xml:space="preserve"> </w:t>
            </w:r>
            <w:r w:rsidRPr="00D51AE5">
              <w:t>develop</w:t>
            </w:r>
            <w:r w:rsidRPr="00D51AE5">
              <w:rPr>
                <w:spacing w:val="-4"/>
              </w:rPr>
              <w:t xml:space="preserve"> </w:t>
            </w:r>
            <w:r w:rsidRPr="00D51AE5">
              <w:t>and</w:t>
            </w:r>
            <w:r w:rsidRPr="00D51AE5">
              <w:rPr>
                <w:spacing w:val="-4"/>
              </w:rPr>
              <w:t xml:space="preserve"> </w:t>
            </w:r>
            <w:r w:rsidRPr="00D51AE5">
              <w:t>utilize the RE Resources.</w:t>
            </w:r>
          </w:p>
        </w:tc>
        <w:tc>
          <w:tcPr>
            <w:tcW w:w="3590" w:type="dxa"/>
          </w:tcPr>
          <w:p w14:paraId="1D4DE601"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26D1411C"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49846B5A" w14:textId="1B1178D3" w:rsidTr="007639A7">
        <w:tc>
          <w:tcPr>
            <w:tcW w:w="6044" w:type="dxa"/>
          </w:tcPr>
          <w:p w14:paraId="7FE684DF"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“Declaration of Commerciality” </w:t>
            </w:r>
            <w:r w:rsidRPr="00D51AE5">
              <w:t xml:space="preserve">or </w:t>
            </w:r>
            <w:r w:rsidRPr="00D51AE5">
              <w:rPr>
                <w:i/>
              </w:rPr>
              <w:t xml:space="preserve">“DOC” </w:t>
            </w:r>
            <w:r w:rsidRPr="00D51AE5">
              <w:t>refers to a written declaration made by the RE Developer to the DOE, stating that the RE Resource is of Commercial Quantities.</w:t>
            </w:r>
          </w:p>
        </w:tc>
        <w:tc>
          <w:tcPr>
            <w:tcW w:w="3590" w:type="dxa"/>
          </w:tcPr>
          <w:p w14:paraId="4C51347E"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0854F106"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4729C595" w14:textId="1049B61E" w:rsidTr="007639A7">
        <w:tc>
          <w:tcPr>
            <w:tcW w:w="6044" w:type="dxa"/>
          </w:tcPr>
          <w:p w14:paraId="430C3A6A" w14:textId="77777777" w:rsidR="006C4239" w:rsidRPr="00D51AE5" w:rsidRDefault="006C4239" w:rsidP="006C4239">
            <w:pPr>
              <w:pStyle w:val="ListParagraph"/>
              <w:widowControl w:val="0"/>
              <w:numPr>
                <w:ilvl w:val="1"/>
                <w:numId w:val="4"/>
              </w:numPr>
              <w:tabs>
                <w:tab w:val="left" w:pos="821"/>
              </w:tabs>
              <w:autoSpaceDE w:val="0"/>
              <w:autoSpaceDN w:val="0"/>
              <w:jc w:val="both"/>
            </w:pPr>
            <w:r w:rsidRPr="00D51AE5">
              <w:rPr>
                <w:i/>
              </w:rPr>
              <w:t xml:space="preserve">“Direct Application” </w:t>
            </w:r>
            <w:r w:rsidRPr="00D51AE5">
              <w:t>refers to the mode of RE Application whereby the RE Applicant identifies a Contract Area it wishes to explore and develop. The identified Contract Area must first be certified by the DOE to be free and open for exploration or development.</w:t>
            </w:r>
          </w:p>
        </w:tc>
        <w:tc>
          <w:tcPr>
            <w:tcW w:w="3590" w:type="dxa"/>
          </w:tcPr>
          <w:p w14:paraId="44797AC0" w14:textId="77777777" w:rsidR="006C4239" w:rsidRPr="00D51AE5" w:rsidRDefault="006C4239" w:rsidP="006C4239">
            <w:pPr>
              <w:pStyle w:val="ListParagraph"/>
              <w:widowControl w:val="0"/>
              <w:tabs>
                <w:tab w:val="left" w:pos="821"/>
              </w:tabs>
              <w:autoSpaceDE w:val="0"/>
              <w:autoSpaceDN w:val="0"/>
              <w:jc w:val="both"/>
              <w:rPr>
                <w:i/>
              </w:rPr>
            </w:pPr>
          </w:p>
        </w:tc>
        <w:tc>
          <w:tcPr>
            <w:tcW w:w="4267" w:type="dxa"/>
          </w:tcPr>
          <w:p w14:paraId="76DC5072" w14:textId="77777777" w:rsidR="006C4239" w:rsidRPr="00D51AE5" w:rsidRDefault="006C4239" w:rsidP="006C4239">
            <w:pPr>
              <w:pStyle w:val="ListParagraph"/>
              <w:widowControl w:val="0"/>
              <w:tabs>
                <w:tab w:val="left" w:pos="821"/>
              </w:tabs>
              <w:autoSpaceDE w:val="0"/>
              <w:autoSpaceDN w:val="0"/>
              <w:jc w:val="both"/>
              <w:rPr>
                <w:i/>
              </w:rPr>
            </w:pPr>
          </w:p>
        </w:tc>
      </w:tr>
      <w:tr w:rsidR="006C4239" w:rsidRPr="00D51AE5" w14:paraId="5399262F" w14:textId="40EA0C6D" w:rsidTr="007639A7">
        <w:tc>
          <w:tcPr>
            <w:tcW w:w="6044" w:type="dxa"/>
          </w:tcPr>
          <w:p w14:paraId="20AE239E" w14:textId="77777777" w:rsidR="006C4239" w:rsidRPr="00D51AE5" w:rsidRDefault="006C4239" w:rsidP="006C4239">
            <w:pPr>
              <w:pStyle w:val="ListParagraph"/>
              <w:widowControl w:val="0"/>
              <w:numPr>
                <w:ilvl w:val="1"/>
                <w:numId w:val="4"/>
              </w:numPr>
              <w:autoSpaceDE w:val="0"/>
              <w:autoSpaceDN w:val="0"/>
              <w:ind w:left="851" w:hanging="644"/>
              <w:jc w:val="both"/>
            </w:pPr>
            <w:r w:rsidRPr="00D51AE5">
              <w:rPr>
                <w:i/>
              </w:rPr>
              <w:t xml:space="preserve">“Energy Application Management System” </w:t>
            </w:r>
            <w:r w:rsidRPr="00D51AE5">
              <w:t xml:space="preserve">or </w:t>
            </w:r>
            <w:r w:rsidRPr="00D51AE5">
              <w:rPr>
                <w:i/>
              </w:rPr>
              <w:t xml:space="preserve">“EAMS” </w:t>
            </w:r>
            <w:r w:rsidRPr="00D51AE5">
              <w:t>refers to an</w:t>
            </w:r>
            <w:r w:rsidRPr="00D51AE5">
              <w:rPr>
                <w:spacing w:val="40"/>
              </w:rPr>
              <w:t xml:space="preserve"> </w:t>
            </w:r>
            <w:r w:rsidRPr="00D51AE5">
              <w:t xml:space="preserve">intranet-based system utilizing radio frequency identification (RFID) technology to uniquely identify an application </w:t>
            </w:r>
            <w:r w:rsidRPr="00D51AE5">
              <w:lastRenderedPageBreak/>
              <w:t>and monitor its real-time</w:t>
            </w:r>
            <w:r w:rsidRPr="00D51AE5">
              <w:rPr>
                <w:spacing w:val="40"/>
              </w:rPr>
              <w:t xml:space="preserve"> </w:t>
            </w:r>
            <w:r w:rsidRPr="00D51AE5">
              <w:rPr>
                <w:spacing w:val="-2"/>
              </w:rPr>
              <w:t>location.</w:t>
            </w:r>
          </w:p>
        </w:tc>
        <w:tc>
          <w:tcPr>
            <w:tcW w:w="3590" w:type="dxa"/>
          </w:tcPr>
          <w:p w14:paraId="48C8D026" w14:textId="77777777" w:rsidR="006C4239" w:rsidRPr="00D51AE5" w:rsidRDefault="006C4239" w:rsidP="006C4239">
            <w:pPr>
              <w:pStyle w:val="ListParagraph"/>
              <w:widowControl w:val="0"/>
              <w:autoSpaceDE w:val="0"/>
              <w:autoSpaceDN w:val="0"/>
              <w:ind w:left="851"/>
              <w:jc w:val="both"/>
              <w:rPr>
                <w:i/>
              </w:rPr>
            </w:pPr>
          </w:p>
        </w:tc>
        <w:tc>
          <w:tcPr>
            <w:tcW w:w="4267" w:type="dxa"/>
          </w:tcPr>
          <w:p w14:paraId="6DEB836B" w14:textId="77777777" w:rsidR="006C4239" w:rsidRPr="00D51AE5" w:rsidRDefault="006C4239" w:rsidP="006C4239">
            <w:pPr>
              <w:pStyle w:val="ListParagraph"/>
              <w:widowControl w:val="0"/>
              <w:autoSpaceDE w:val="0"/>
              <w:autoSpaceDN w:val="0"/>
              <w:ind w:left="851"/>
              <w:jc w:val="both"/>
              <w:rPr>
                <w:i/>
              </w:rPr>
            </w:pPr>
          </w:p>
        </w:tc>
      </w:tr>
      <w:tr w:rsidR="006C4239" w:rsidRPr="00D51AE5" w14:paraId="56EC9C20" w14:textId="25C6E10B" w:rsidTr="007639A7">
        <w:tc>
          <w:tcPr>
            <w:tcW w:w="6044" w:type="dxa"/>
          </w:tcPr>
          <w:p w14:paraId="366189B4"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 xml:space="preserve">“Financial Closing” </w:t>
            </w:r>
            <w:r w:rsidRPr="00D51AE5">
              <w:t>refers to such milestone in the Pre-Development or Development Stage of the RE Project when the RE Developer has secured a written commitment from the financier/s to provide its full funding</w:t>
            </w:r>
            <w:r w:rsidRPr="00D51AE5">
              <w:rPr>
                <w:spacing w:val="80"/>
              </w:rPr>
              <w:t xml:space="preserve"> </w:t>
            </w:r>
            <w:r w:rsidRPr="00D51AE5">
              <w:t xml:space="preserve">requirements through equity and/or commercial borrowings, or other financing </w:t>
            </w:r>
            <w:r w:rsidRPr="00D51AE5">
              <w:rPr>
                <w:spacing w:val="-2"/>
              </w:rPr>
              <w:t>schemes.</w:t>
            </w:r>
          </w:p>
        </w:tc>
        <w:tc>
          <w:tcPr>
            <w:tcW w:w="3590" w:type="dxa"/>
          </w:tcPr>
          <w:p w14:paraId="54D82A8D" w14:textId="77777777" w:rsidR="006C4239" w:rsidRPr="00D51AE5" w:rsidRDefault="006C4239" w:rsidP="006C4239">
            <w:pPr>
              <w:pStyle w:val="ListParagraph"/>
              <w:widowControl w:val="0"/>
              <w:autoSpaceDE w:val="0"/>
              <w:autoSpaceDN w:val="0"/>
              <w:ind w:left="851"/>
              <w:jc w:val="both"/>
              <w:rPr>
                <w:i/>
              </w:rPr>
            </w:pPr>
          </w:p>
        </w:tc>
        <w:tc>
          <w:tcPr>
            <w:tcW w:w="4267" w:type="dxa"/>
          </w:tcPr>
          <w:p w14:paraId="59B43651" w14:textId="77777777" w:rsidR="006C4239" w:rsidRPr="00D51AE5" w:rsidRDefault="006C4239" w:rsidP="006C4239">
            <w:pPr>
              <w:pStyle w:val="ListParagraph"/>
              <w:widowControl w:val="0"/>
              <w:autoSpaceDE w:val="0"/>
              <w:autoSpaceDN w:val="0"/>
              <w:ind w:left="851"/>
              <w:jc w:val="both"/>
              <w:rPr>
                <w:i/>
              </w:rPr>
            </w:pPr>
          </w:p>
        </w:tc>
      </w:tr>
      <w:tr w:rsidR="006C4239" w:rsidRPr="00D51AE5" w14:paraId="4E48130E" w14:textId="01FFD97C" w:rsidTr="007639A7">
        <w:tc>
          <w:tcPr>
            <w:tcW w:w="6044" w:type="dxa"/>
          </w:tcPr>
          <w:p w14:paraId="47DB974C"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 xml:space="preserve">“Financial Qualifications” </w:t>
            </w:r>
            <w:r w:rsidRPr="00D51AE5">
              <w:t>refers to the criteria and procedures set out by the</w:t>
            </w:r>
            <w:r w:rsidRPr="00D51AE5">
              <w:rPr>
                <w:spacing w:val="-3"/>
              </w:rPr>
              <w:t xml:space="preserve"> </w:t>
            </w:r>
            <w:r w:rsidRPr="00D51AE5">
              <w:t>DOE</w:t>
            </w:r>
            <w:r w:rsidRPr="00D51AE5">
              <w:rPr>
                <w:spacing w:val="-2"/>
              </w:rPr>
              <w:t xml:space="preserve"> </w:t>
            </w:r>
            <w:r w:rsidRPr="00D51AE5">
              <w:t>to</w:t>
            </w:r>
            <w:r w:rsidRPr="00D51AE5">
              <w:rPr>
                <w:spacing w:val="-4"/>
              </w:rPr>
              <w:t xml:space="preserve"> </w:t>
            </w:r>
            <w:r w:rsidRPr="00D51AE5">
              <w:t>establish</w:t>
            </w:r>
            <w:r w:rsidRPr="00D51AE5">
              <w:rPr>
                <w:spacing w:val="-4"/>
              </w:rPr>
              <w:t xml:space="preserve"> </w:t>
            </w:r>
            <w:r w:rsidRPr="00D51AE5">
              <w:t>the</w:t>
            </w:r>
            <w:r w:rsidRPr="00D51AE5">
              <w:rPr>
                <w:spacing w:val="-4"/>
              </w:rPr>
              <w:t xml:space="preserve"> </w:t>
            </w:r>
            <w:r w:rsidRPr="00D51AE5">
              <w:t>financial</w:t>
            </w:r>
            <w:r w:rsidRPr="00D51AE5">
              <w:rPr>
                <w:spacing w:val="-4"/>
              </w:rPr>
              <w:t xml:space="preserve"> </w:t>
            </w:r>
            <w:r w:rsidRPr="00D51AE5">
              <w:t>capability</w:t>
            </w:r>
            <w:r w:rsidRPr="00D51AE5">
              <w:rPr>
                <w:spacing w:val="-2"/>
              </w:rPr>
              <w:t xml:space="preserve"> </w:t>
            </w:r>
            <w:r w:rsidRPr="00D51AE5">
              <w:t>of</w:t>
            </w:r>
            <w:r w:rsidRPr="00D51AE5">
              <w:rPr>
                <w:spacing w:val="-1"/>
              </w:rPr>
              <w:t xml:space="preserve"> </w:t>
            </w:r>
            <w:r w:rsidRPr="00D51AE5">
              <w:t>the RE</w:t>
            </w:r>
            <w:r w:rsidRPr="00D51AE5">
              <w:rPr>
                <w:spacing w:val="-2"/>
              </w:rPr>
              <w:t xml:space="preserve"> </w:t>
            </w:r>
            <w:r w:rsidRPr="00D51AE5">
              <w:t>Developer</w:t>
            </w:r>
            <w:r w:rsidRPr="00D51AE5">
              <w:rPr>
                <w:spacing w:val="-2"/>
              </w:rPr>
              <w:t xml:space="preserve"> </w:t>
            </w:r>
            <w:r w:rsidRPr="00D51AE5">
              <w:t>to implement the RE Project.</w:t>
            </w:r>
          </w:p>
        </w:tc>
        <w:tc>
          <w:tcPr>
            <w:tcW w:w="3590" w:type="dxa"/>
          </w:tcPr>
          <w:p w14:paraId="6DE7ECEC" w14:textId="77777777" w:rsidR="006C4239" w:rsidRPr="00D51AE5" w:rsidRDefault="006C4239" w:rsidP="006C4239">
            <w:pPr>
              <w:pStyle w:val="ListParagraph"/>
              <w:widowControl w:val="0"/>
              <w:autoSpaceDE w:val="0"/>
              <w:autoSpaceDN w:val="0"/>
              <w:ind w:left="360"/>
              <w:jc w:val="both"/>
              <w:rPr>
                <w:i/>
              </w:rPr>
            </w:pPr>
          </w:p>
        </w:tc>
        <w:tc>
          <w:tcPr>
            <w:tcW w:w="4267" w:type="dxa"/>
          </w:tcPr>
          <w:p w14:paraId="4F472BFC" w14:textId="77777777" w:rsidR="006C4239" w:rsidRPr="00D51AE5" w:rsidRDefault="006C4239" w:rsidP="006C4239">
            <w:pPr>
              <w:pStyle w:val="ListParagraph"/>
              <w:widowControl w:val="0"/>
              <w:autoSpaceDE w:val="0"/>
              <w:autoSpaceDN w:val="0"/>
              <w:ind w:left="851"/>
              <w:jc w:val="both"/>
              <w:rPr>
                <w:i/>
              </w:rPr>
            </w:pPr>
          </w:p>
        </w:tc>
      </w:tr>
      <w:tr w:rsidR="006C4239" w:rsidRPr="00D51AE5" w14:paraId="3DA9F704" w14:textId="75F66533" w:rsidTr="007639A7">
        <w:tc>
          <w:tcPr>
            <w:tcW w:w="6044" w:type="dxa"/>
          </w:tcPr>
          <w:p w14:paraId="4E01FF3F"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 xml:space="preserve">“Force Majeure” </w:t>
            </w:r>
            <w:r w:rsidRPr="00D51AE5">
              <w:rPr>
                <w:iCs/>
              </w:rPr>
              <w:t>refers to extraordinary events not foreseeable or avoidable, events that could not be foreseen, or which, though foreseen, are inevitable.</w:t>
            </w:r>
          </w:p>
        </w:tc>
        <w:tc>
          <w:tcPr>
            <w:tcW w:w="3590" w:type="dxa"/>
          </w:tcPr>
          <w:p w14:paraId="73A93049" w14:textId="77777777" w:rsidR="006C4239" w:rsidRPr="00D51AE5" w:rsidRDefault="006C4239" w:rsidP="006C4239">
            <w:pPr>
              <w:pStyle w:val="ListParagraph"/>
              <w:widowControl w:val="0"/>
              <w:autoSpaceDE w:val="0"/>
              <w:autoSpaceDN w:val="0"/>
              <w:ind w:left="851"/>
              <w:jc w:val="both"/>
              <w:rPr>
                <w:i/>
              </w:rPr>
            </w:pPr>
          </w:p>
        </w:tc>
        <w:tc>
          <w:tcPr>
            <w:tcW w:w="4267" w:type="dxa"/>
          </w:tcPr>
          <w:p w14:paraId="08955702" w14:textId="77777777" w:rsidR="006C4239" w:rsidRPr="00D51AE5" w:rsidRDefault="006C4239" w:rsidP="006C4239">
            <w:pPr>
              <w:pStyle w:val="ListParagraph"/>
              <w:widowControl w:val="0"/>
              <w:autoSpaceDE w:val="0"/>
              <w:autoSpaceDN w:val="0"/>
              <w:ind w:left="851"/>
              <w:jc w:val="both"/>
              <w:rPr>
                <w:i/>
              </w:rPr>
            </w:pPr>
          </w:p>
        </w:tc>
      </w:tr>
      <w:tr w:rsidR="006C4239" w:rsidRPr="00D51AE5" w14:paraId="10DD8B4F" w14:textId="702F6670" w:rsidTr="007639A7">
        <w:tc>
          <w:tcPr>
            <w:tcW w:w="6044" w:type="dxa"/>
          </w:tcPr>
          <w:p w14:paraId="0D7D0961"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 xml:space="preserve">“Geothermal Service Contract” </w:t>
            </w:r>
            <w:r w:rsidRPr="00D51AE5">
              <w:t xml:space="preserve">or </w:t>
            </w:r>
            <w:r w:rsidRPr="00D51AE5">
              <w:rPr>
                <w:i/>
              </w:rPr>
              <w:t xml:space="preserve">“GSC” </w:t>
            </w:r>
            <w:r w:rsidRPr="00D51AE5">
              <w:t>refers to the RE Contract issued for the exploration, development and/or utilization of geothermal resources as RE Resource for the operation of RE Projects.</w:t>
            </w:r>
          </w:p>
        </w:tc>
        <w:tc>
          <w:tcPr>
            <w:tcW w:w="3590" w:type="dxa"/>
          </w:tcPr>
          <w:p w14:paraId="2224D5AE" w14:textId="77777777" w:rsidR="006C4239" w:rsidRPr="00D51AE5" w:rsidRDefault="006C4239" w:rsidP="006C4239">
            <w:pPr>
              <w:pStyle w:val="ListParagraph"/>
              <w:widowControl w:val="0"/>
              <w:autoSpaceDE w:val="0"/>
              <w:autoSpaceDN w:val="0"/>
              <w:ind w:left="851"/>
              <w:jc w:val="both"/>
              <w:rPr>
                <w:i/>
              </w:rPr>
            </w:pPr>
          </w:p>
        </w:tc>
        <w:tc>
          <w:tcPr>
            <w:tcW w:w="4267" w:type="dxa"/>
          </w:tcPr>
          <w:p w14:paraId="6579B997" w14:textId="77777777" w:rsidR="006C4239" w:rsidRPr="00D51AE5" w:rsidRDefault="006C4239" w:rsidP="006C4239">
            <w:pPr>
              <w:pStyle w:val="ListParagraph"/>
              <w:widowControl w:val="0"/>
              <w:autoSpaceDE w:val="0"/>
              <w:autoSpaceDN w:val="0"/>
              <w:ind w:left="851"/>
              <w:jc w:val="both"/>
              <w:rPr>
                <w:i/>
              </w:rPr>
            </w:pPr>
          </w:p>
        </w:tc>
      </w:tr>
      <w:tr w:rsidR="006C4239" w:rsidRPr="00D51AE5" w14:paraId="0F278556" w14:textId="174E0D2E" w:rsidTr="007639A7">
        <w:tc>
          <w:tcPr>
            <w:tcW w:w="6044" w:type="dxa"/>
          </w:tcPr>
          <w:p w14:paraId="5BD4D621"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 xml:space="preserve">“Hydropower Service Contract” </w:t>
            </w:r>
            <w:r w:rsidRPr="00D51AE5">
              <w:t xml:space="preserve">or </w:t>
            </w:r>
            <w:r w:rsidRPr="00D51AE5">
              <w:rPr>
                <w:i/>
              </w:rPr>
              <w:t xml:space="preserve">“HSC” </w:t>
            </w:r>
            <w:r w:rsidRPr="00D51AE5">
              <w:t>refers to the RE Contract for the exploration, development and/or utilization of hydropower resources as RE Resource for the operation of RE Projects.</w:t>
            </w:r>
          </w:p>
        </w:tc>
        <w:tc>
          <w:tcPr>
            <w:tcW w:w="3590" w:type="dxa"/>
          </w:tcPr>
          <w:p w14:paraId="327DCAFC" w14:textId="77777777" w:rsidR="006C4239" w:rsidRPr="00D51AE5" w:rsidRDefault="006C4239" w:rsidP="006C4239">
            <w:pPr>
              <w:pStyle w:val="ListParagraph"/>
              <w:widowControl w:val="0"/>
              <w:autoSpaceDE w:val="0"/>
              <w:autoSpaceDN w:val="0"/>
              <w:ind w:left="851"/>
              <w:jc w:val="both"/>
              <w:rPr>
                <w:i/>
              </w:rPr>
            </w:pPr>
          </w:p>
        </w:tc>
        <w:tc>
          <w:tcPr>
            <w:tcW w:w="4267" w:type="dxa"/>
          </w:tcPr>
          <w:p w14:paraId="285C4EF1" w14:textId="77777777" w:rsidR="006C4239" w:rsidRPr="00D51AE5" w:rsidRDefault="006C4239" w:rsidP="006C4239">
            <w:pPr>
              <w:pStyle w:val="ListParagraph"/>
              <w:widowControl w:val="0"/>
              <w:autoSpaceDE w:val="0"/>
              <w:autoSpaceDN w:val="0"/>
              <w:ind w:left="851"/>
              <w:jc w:val="both"/>
              <w:rPr>
                <w:i/>
              </w:rPr>
            </w:pPr>
          </w:p>
        </w:tc>
      </w:tr>
      <w:tr w:rsidR="006C4239" w:rsidRPr="00D51AE5" w14:paraId="5EE08681" w14:textId="295B3A05" w:rsidTr="007639A7">
        <w:tc>
          <w:tcPr>
            <w:tcW w:w="6044" w:type="dxa"/>
          </w:tcPr>
          <w:p w14:paraId="4979C0A6"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“Letter of Intent” </w:t>
            </w:r>
            <w:r w:rsidRPr="00D51AE5">
              <w:t xml:space="preserve">or </w:t>
            </w:r>
            <w:r w:rsidRPr="00D51AE5">
              <w:rPr>
                <w:i/>
              </w:rPr>
              <w:t xml:space="preserve">“LOI” </w:t>
            </w:r>
            <w:r w:rsidRPr="00D51AE5">
              <w:t xml:space="preserve">refers to the written </w:t>
            </w:r>
            <w:r w:rsidRPr="00D51AE5">
              <w:lastRenderedPageBreak/>
              <w:t>notice or document submitted by a Person to the DOE, indicating interest in the exploration, development, utilization and commercialization of RE Resource.</w:t>
            </w:r>
          </w:p>
        </w:tc>
        <w:tc>
          <w:tcPr>
            <w:tcW w:w="3590" w:type="dxa"/>
          </w:tcPr>
          <w:p w14:paraId="19C97273" w14:textId="77777777" w:rsidR="006C4239" w:rsidRPr="00D51AE5" w:rsidRDefault="006C4239" w:rsidP="006C4239">
            <w:pPr>
              <w:pStyle w:val="ListParagraph"/>
              <w:widowControl w:val="0"/>
              <w:autoSpaceDE w:val="0"/>
              <w:autoSpaceDN w:val="0"/>
              <w:ind w:left="851"/>
              <w:jc w:val="both"/>
            </w:pPr>
          </w:p>
        </w:tc>
        <w:tc>
          <w:tcPr>
            <w:tcW w:w="4267" w:type="dxa"/>
          </w:tcPr>
          <w:p w14:paraId="2BCDA896" w14:textId="77777777" w:rsidR="006C4239" w:rsidRPr="00D51AE5" w:rsidRDefault="006C4239" w:rsidP="006C4239">
            <w:pPr>
              <w:pStyle w:val="ListParagraph"/>
              <w:widowControl w:val="0"/>
              <w:autoSpaceDE w:val="0"/>
              <w:autoSpaceDN w:val="0"/>
              <w:ind w:left="851"/>
              <w:jc w:val="both"/>
            </w:pPr>
          </w:p>
        </w:tc>
      </w:tr>
      <w:tr w:rsidR="006C4239" w:rsidRPr="00D51AE5" w14:paraId="7B87B9DC" w14:textId="20456858" w:rsidTr="007639A7">
        <w:tc>
          <w:tcPr>
            <w:tcW w:w="6044" w:type="dxa"/>
          </w:tcPr>
          <w:p w14:paraId="18AB37C8"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“Ocean Energy Service Contract” </w:t>
            </w:r>
            <w:r w:rsidRPr="00D51AE5">
              <w:t>or “OESC” refers to the RE Contract for the exploration, development and/or utilization of ocean resources for the operation of RE Projects.</w:t>
            </w:r>
          </w:p>
        </w:tc>
        <w:tc>
          <w:tcPr>
            <w:tcW w:w="3590" w:type="dxa"/>
          </w:tcPr>
          <w:p w14:paraId="223C2FF7" w14:textId="77777777" w:rsidR="006C4239" w:rsidRPr="00D51AE5" w:rsidRDefault="006C4239" w:rsidP="006C4239">
            <w:pPr>
              <w:pStyle w:val="ListParagraph"/>
              <w:widowControl w:val="0"/>
              <w:autoSpaceDE w:val="0"/>
              <w:autoSpaceDN w:val="0"/>
              <w:ind w:left="851"/>
              <w:jc w:val="both"/>
            </w:pPr>
          </w:p>
        </w:tc>
        <w:tc>
          <w:tcPr>
            <w:tcW w:w="4267" w:type="dxa"/>
          </w:tcPr>
          <w:p w14:paraId="21C0AB5F" w14:textId="77777777" w:rsidR="006C4239" w:rsidRPr="00D51AE5" w:rsidRDefault="006C4239" w:rsidP="006C4239">
            <w:pPr>
              <w:pStyle w:val="ListParagraph"/>
              <w:widowControl w:val="0"/>
              <w:autoSpaceDE w:val="0"/>
              <w:autoSpaceDN w:val="0"/>
              <w:ind w:left="851"/>
              <w:jc w:val="both"/>
            </w:pPr>
          </w:p>
        </w:tc>
      </w:tr>
      <w:tr w:rsidR="006C4239" w:rsidRPr="00D51AE5" w14:paraId="2CA4C1B5" w14:textId="4396BED6" w:rsidTr="007639A7">
        <w:tc>
          <w:tcPr>
            <w:tcW w:w="6044" w:type="dxa"/>
          </w:tcPr>
          <w:p w14:paraId="4BF261F5"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“Pre-Determined Area” </w:t>
            </w:r>
            <w:r w:rsidRPr="00D51AE5">
              <w:t xml:space="preserve">or </w:t>
            </w:r>
            <w:r w:rsidRPr="00D51AE5">
              <w:rPr>
                <w:i/>
              </w:rPr>
              <w:t xml:space="preserve">“PDA” </w:t>
            </w:r>
            <w:r w:rsidRPr="00D51AE5">
              <w:t>refers to area/s with RE Resource potential through sufficient available technical data as may be determined by the REMB, and approved by the DOE Secretary for its inclusion in the Open and Competitive Process (OCSP).</w:t>
            </w:r>
          </w:p>
        </w:tc>
        <w:tc>
          <w:tcPr>
            <w:tcW w:w="3590" w:type="dxa"/>
          </w:tcPr>
          <w:p w14:paraId="6807EC4C" w14:textId="77777777" w:rsidR="006C4239" w:rsidRPr="00D51AE5" w:rsidRDefault="006C4239" w:rsidP="006C4239">
            <w:pPr>
              <w:pStyle w:val="ListParagraph"/>
              <w:widowControl w:val="0"/>
              <w:autoSpaceDE w:val="0"/>
              <w:autoSpaceDN w:val="0"/>
              <w:ind w:left="851"/>
              <w:jc w:val="both"/>
            </w:pPr>
          </w:p>
        </w:tc>
        <w:tc>
          <w:tcPr>
            <w:tcW w:w="4267" w:type="dxa"/>
          </w:tcPr>
          <w:p w14:paraId="0923E166" w14:textId="77777777" w:rsidR="006C4239" w:rsidRPr="00D51AE5" w:rsidRDefault="006C4239" w:rsidP="006C4239">
            <w:pPr>
              <w:pStyle w:val="ListParagraph"/>
              <w:widowControl w:val="0"/>
              <w:autoSpaceDE w:val="0"/>
              <w:autoSpaceDN w:val="0"/>
              <w:ind w:left="851"/>
              <w:jc w:val="both"/>
            </w:pPr>
          </w:p>
        </w:tc>
      </w:tr>
      <w:tr w:rsidR="006C4239" w:rsidRPr="00D51AE5" w14:paraId="16E9FA44" w14:textId="03B6123E" w:rsidTr="007639A7">
        <w:tc>
          <w:tcPr>
            <w:tcW w:w="6044" w:type="dxa"/>
          </w:tcPr>
          <w:p w14:paraId="28F33FF9"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“Person”</w:t>
            </w:r>
            <w:r w:rsidRPr="00D51AE5">
              <w:rPr>
                <w:i/>
                <w:spacing w:val="-1"/>
              </w:rPr>
              <w:t xml:space="preserve"> </w:t>
            </w:r>
            <w:r w:rsidRPr="00D51AE5">
              <w:t>refers to</w:t>
            </w:r>
            <w:r w:rsidRPr="00D51AE5">
              <w:rPr>
                <w:spacing w:val="-3"/>
              </w:rPr>
              <w:t xml:space="preserve"> </w:t>
            </w:r>
            <w:r w:rsidRPr="00D51AE5">
              <w:t>a</w:t>
            </w:r>
            <w:r w:rsidRPr="00D51AE5">
              <w:rPr>
                <w:spacing w:val="-3"/>
              </w:rPr>
              <w:t xml:space="preserve"> </w:t>
            </w:r>
            <w:r w:rsidRPr="00D51AE5">
              <w:t>natural</w:t>
            </w:r>
            <w:r w:rsidRPr="00D51AE5">
              <w:rPr>
                <w:spacing w:val="-3"/>
              </w:rPr>
              <w:t xml:space="preserve"> </w:t>
            </w:r>
            <w:r w:rsidRPr="00D51AE5">
              <w:t>or</w:t>
            </w:r>
            <w:r w:rsidRPr="00D51AE5">
              <w:rPr>
                <w:spacing w:val="-2"/>
              </w:rPr>
              <w:t xml:space="preserve"> </w:t>
            </w:r>
            <w:r w:rsidRPr="00D51AE5">
              <w:t>juridical</w:t>
            </w:r>
            <w:r w:rsidRPr="00D51AE5">
              <w:rPr>
                <w:spacing w:val="-3"/>
              </w:rPr>
              <w:t xml:space="preserve"> </w:t>
            </w:r>
            <w:r w:rsidRPr="00D51AE5">
              <w:t>person,</w:t>
            </w:r>
            <w:r w:rsidRPr="00D51AE5">
              <w:rPr>
                <w:spacing w:val="-1"/>
              </w:rPr>
              <w:t xml:space="preserve"> </w:t>
            </w:r>
            <w:r w:rsidRPr="00D51AE5">
              <w:t>as</w:t>
            </w:r>
            <w:r w:rsidRPr="00D51AE5">
              <w:rPr>
                <w:spacing w:val="-1"/>
              </w:rPr>
              <w:t xml:space="preserve"> </w:t>
            </w:r>
            <w:r w:rsidRPr="00D51AE5">
              <w:t>the</w:t>
            </w:r>
            <w:r w:rsidRPr="00D51AE5">
              <w:rPr>
                <w:spacing w:val="-3"/>
              </w:rPr>
              <w:t xml:space="preserve"> </w:t>
            </w:r>
            <w:r w:rsidRPr="00D51AE5">
              <w:t>case</w:t>
            </w:r>
            <w:r w:rsidRPr="00D51AE5">
              <w:rPr>
                <w:spacing w:val="-3"/>
              </w:rPr>
              <w:t xml:space="preserve"> </w:t>
            </w:r>
            <w:r w:rsidRPr="00D51AE5">
              <w:t>may</w:t>
            </w:r>
            <w:r w:rsidRPr="00D51AE5">
              <w:rPr>
                <w:spacing w:val="-1"/>
              </w:rPr>
              <w:t xml:space="preserve"> </w:t>
            </w:r>
            <w:r w:rsidRPr="00D51AE5">
              <w:rPr>
                <w:spacing w:val="-5"/>
              </w:rPr>
              <w:t>be.</w:t>
            </w:r>
          </w:p>
        </w:tc>
        <w:tc>
          <w:tcPr>
            <w:tcW w:w="3590" w:type="dxa"/>
          </w:tcPr>
          <w:p w14:paraId="784BCBED" w14:textId="77777777" w:rsidR="006C4239" w:rsidRPr="00D51AE5" w:rsidRDefault="006C4239" w:rsidP="006C4239">
            <w:pPr>
              <w:pStyle w:val="ListParagraph"/>
              <w:widowControl w:val="0"/>
              <w:autoSpaceDE w:val="0"/>
              <w:autoSpaceDN w:val="0"/>
              <w:ind w:left="851"/>
              <w:jc w:val="both"/>
              <w:rPr>
                <w:i/>
              </w:rPr>
            </w:pPr>
          </w:p>
        </w:tc>
        <w:tc>
          <w:tcPr>
            <w:tcW w:w="4267" w:type="dxa"/>
          </w:tcPr>
          <w:p w14:paraId="7AE686CC" w14:textId="77777777" w:rsidR="006C4239" w:rsidRPr="00D51AE5" w:rsidRDefault="006C4239" w:rsidP="006C4239">
            <w:pPr>
              <w:pStyle w:val="ListParagraph"/>
              <w:widowControl w:val="0"/>
              <w:autoSpaceDE w:val="0"/>
              <w:autoSpaceDN w:val="0"/>
              <w:ind w:left="851"/>
              <w:jc w:val="both"/>
              <w:rPr>
                <w:i/>
              </w:rPr>
            </w:pPr>
          </w:p>
        </w:tc>
      </w:tr>
      <w:tr w:rsidR="006C4239" w:rsidRPr="00D51AE5" w14:paraId="5CAD0E05" w14:textId="7943E3D1" w:rsidTr="007639A7">
        <w:tc>
          <w:tcPr>
            <w:tcW w:w="6044" w:type="dxa"/>
          </w:tcPr>
          <w:p w14:paraId="630F4A94"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spacing w:val="-5"/>
              </w:rPr>
              <w:t xml:space="preserve"> </w:t>
            </w:r>
            <w:r w:rsidRPr="00D51AE5">
              <w:rPr>
                <w:i/>
              </w:rPr>
              <w:t xml:space="preserve">“Production Area” </w:t>
            </w:r>
            <w:r w:rsidRPr="00D51AE5">
              <w:t>refers to that portion of the Contract Area identified in metes</w:t>
            </w:r>
            <w:r w:rsidRPr="00D51AE5">
              <w:rPr>
                <w:spacing w:val="-1"/>
              </w:rPr>
              <w:t xml:space="preserve"> </w:t>
            </w:r>
            <w:r w:rsidRPr="00D51AE5">
              <w:t>and</w:t>
            </w:r>
            <w:r w:rsidRPr="00D51AE5">
              <w:rPr>
                <w:spacing w:val="-3"/>
              </w:rPr>
              <w:t xml:space="preserve"> </w:t>
            </w:r>
            <w:r w:rsidRPr="00D51AE5">
              <w:t>bounds</w:t>
            </w:r>
            <w:r w:rsidRPr="00D51AE5">
              <w:rPr>
                <w:spacing w:val="-1"/>
              </w:rPr>
              <w:t xml:space="preserve"> </w:t>
            </w:r>
            <w:r w:rsidRPr="00D51AE5">
              <w:t>by</w:t>
            </w:r>
            <w:r w:rsidRPr="00D51AE5">
              <w:rPr>
                <w:spacing w:val="-1"/>
              </w:rPr>
              <w:t xml:space="preserve"> </w:t>
            </w:r>
            <w:r w:rsidRPr="00D51AE5">
              <w:t>the</w:t>
            </w:r>
            <w:r w:rsidRPr="00D51AE5">
              <w:rPr>
                <w:spacing w:val="-3"/>
              </w:rPr>
              <w:t xml:space="preserve"> </w:t>
            </w:r>
            <w:r w:rsidRPr="00D51AE5">
              <w:t>RE</w:t>
            </w:r>
            <w:r w:rsidRPr="00D51AE5">
              <w:rPr>
                <w:spacing w:val="-1"/>
              </w:rPr>
              <w:t xml:space="preserve"> </w:t>
            </w:r>
            <w:r w:rsidRPr="00D51AE5">
              <w:t>Developer and</w:t>
            </w:r>
            <w:r w:rsidRPr="00D51AE5">
              <w:rPr>
                <w:spacing w:val="-3"/>
              </w:rPr>
              <w:t xml:space="preserve"> </w:t>
            </w:r>
            <w:r w:rsidRPr="00D51AE5">
              <w:t>approved</w:t>
            </w:r>
            <w:r w:rsidRPr="00D51AE5">
              <w:rPr>
                <w:spacing w:val="-3"/>
              </w:rPr>
              <w:t xml:space="preserve"> </w:t>
            </w:r>
            <w:r w:rsidRPr="00D51AE5">
              <w:t>by</w:t>
            </w:r>
            <w:r w:rsidRPr="00D51AE5">
              <w:rPr>
                <w:spacing w:val="-1"/>
              </w:rPr>
              <w:t xml:space="preserve"> </w:t>
            </w:r>
            <w:r w:rsidRPr="00D51AE5">
              <w:t>the</w:t>
            </w:r>
            <w:r w:rsidRPr="00D51AE5">
              <w:rPr>
                <w:spacing w:val="-3"/>
              </w:rPr>
              <w:t xml:space="preserve"> </w:t>
            </w:r>
            <w:r w:rsidRPr="00D51AE5">
              <w:t>DOE, where RE Resources are utilized to produce electricity in Commercial Quantities.</w:t>
            </w:r>
          </w:p>
        </w:tc>
        <w:tc>
          <w:tcPr>
            <w:tcW w:w="3590" w:type="dxa"/>
          </w:tcPr>
          <w:p w14:paraId="04AC49C5" w14:textId="77777777" w:rsidR="006C4239" w:rsidRPr="00D51AE5" w:rsidRDefault="006C4239" w:rsidP="006C4239">
            <w:pPr>
              <w:pStyle w:val="ListParagraph"/>
              <w:widowControl w:val="0"/>
              <w:autoSpaceDE w:val="0"/>
              <w:autoSpaceDN w:val="0"/>
              <w:ind w:left="851"/>
              <w:jc w:val="both"/>
              <w:rPr>
                <w:spacing w:val="-5"/>
              </w:rPr>
            </w:pPr>
          </w:p>
        </w:tc>
        <w:tc>
          <w:tcPr>
            <w:tcW w:w="4267" w:type="dxa"/>
          </w:tcPr>
          <w:p w14:paraId="3C87B2E1" w14:textId="77777777" w:rsidR="006C4239" w:rsidRPr="00D51AE5" w:rsidRDefault="006C4239" w:rsidP="006C4239">
            <w:pPr>
              <w:pStyle w:val="ListParagraph"/>
              <w:widowControl w:val="0"/>
              <w:autoSpaceDE w:val="0"/>
              <w:autoSpaceDN w:val="0"/>
              <w:ind w:left="851"/>
              <w:jc w:val="both"/>
              <w:rPr>
                <w:spacing w:val="-5"/>
              </w:rPr>
            </w:pPr>
          </w:p>
        </w:tc>
      </w:tr>
      <w:tr w:rsidR="006C4239" w:rsidRPr="00D51AE5" w14:paraId="79B82084" w14:textId="116C6D87" w:rsidTr="007639A7">
        <w:tc>
          <w:tcPr>
            <w:tcW w:w="6044" w:type="dxa"/>
          </w:tcPr>
          <w:p w14:paraId="4DB0263F"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“Production Area” </w:t>
            </w:r>
            <w:r w:rsidRPr="00D51AE5">
              <w:t>refers to that portion of the Contract Area identified in metes</w:t>
            </w:r>
            <w:r w:rsidRPr="00D51AE5">
              <w:rPr>
                <w:spacing w:val="-1"/>
              </w:rPr>
              <w:t xml:space="preserve"> </w:t>
            </w:r>
            <w:r w:rsidRPr="00D51AE5">
              <w:t>and</w:t>
            </w:r>
            <w:r w:rsidRPr="00D51AE5">
              <w:rPr>
                <w:spacing w:val="-3"/>
              </w:rPr>
              <w:t xml:space="preserve"> </w:t>
            </w:r>
            <w:r w:rsidRPr="00D51AE5">
              <w:t>bounds</w:t>
            </w:r>
            <w:r w:rsidRPr="00D51AE5">
              <w:rPr>
                <w:spacing w:val="-1"/>
              </w:rPr>
              <w:t xml:space="preserve"> </w:t>
            </w:r>
            <w:r w:rsidRPr="00D51AE5">
              <w:t>by</w:t>
            </w:r>
            <w:r w:rsidRPr="00D51AE5">
              <w:rPr>
                <w:spacing w:val="-1"/>
              </w:rPr>
              <w:t xml:space="preserve"> </w:t>
            </w:r>
            <w:r w:rsidRPr="00D51AE5">
              <w:t>the</w:t>
            </w:r>
            <w:r w:rsidRPr="00D51AE5">
              <w:rPr>
                <w:spacing w:val="-3"/>
              </w:rPr>
              <w:t xml:space="preserve"> </w:t>
            </w:r>
            <w:r w:rsidRPr="00D51AE5">
              <w:t>RE</w:t>
            </w:r>
            <w:r w:rsidRPr="00D51AE5">
              <w:rPr>
                <w:spacing w:val="-1"/>
              </w:rPr>
              <w:t xml:space="preserve"> </w:t>
            </w:r>
            <w:r w:rsidRPr="00D51AE5">
              <w:t>Developer and</w:t>
            </w:r>
            <w:r w:rsidRPr="00D51AE5">
              <w:rPr>
                <w:spacing w:val="-3"/>
              </w:rPr>
              <w:t xml:space="preserve"> </w:t>
            </w:r>
            <w:r w:rsidRPr="00D51AE5">
              <w:t>approved</w:t>
            </w:r>
            <w:r w:rsidRPr="00D51AE5">
              <w:rPr>
                <w:spacing w:val="-3"/>
              </w:rPr>
              <w:t xml:space="preserve"> </w:t>
            </w:r>
            <w:r w:rsidRPr="00D51AE5">
              <w:t>by</w:t>
            </w:r>
            <w:r w:rsidRPr="00D51AE5">
              <w:rPr>
                <w:spacing w:val="-1"/>
              </w:rPr>
              <w:t xml:space="preserve"> </w:t>
            </w:r>
            <w:r w:rsidRPr="00D51AE5">
              <w:t>the</w:t>
            </w:r>
            <w:r w:rsidRPr="00D51AE5">
              <w:rPr>
                <w:spacing w:val="-3"/>
              </w:rPr>
              <w:t xml:space="preserve"> </w:t>
            </w:r>
            <w:r w:rsidRPr="00D51AE5">
              <w:t>DOE, where RE Resources are utilized to produce electricity in Commercial Quantities</w:t>
            </w:r>
          </w:p>
        </w:tc>
        <w:tc>
          <w:tcPr>
            <w:tcW w:w="3590" w:type="dxa"/>
          </w:tcPr>
          <w:p w14:paraId="32F626DA" w14:textId="77777777" w:rsidR="006C4239" w:rsidRPr="00D51AE5" w:rsidRDefault="006C4239" w:rsidP="006C4239">
            <w:pPr>
              <w:pStyle w:val="ListParagraph"/>
              <w:widowControl w:val="0"/>
              <w:autoSpaceDE w:val="0"/>
              <w:autoSpaceDN w:val="0"/>
              <w:ind w:left="851"/>
              <w:jc w:val="both"/>
            </w:pPr>
          </w:p>
        </w:tc>
        <w:tc>
          <w:tcPr>
            <w:tcW w:w="4267" w:type="dxa"/>
          </w:tcPr>
          <w:p w14:paraId="07B28C8C" w14:textId="77777777" w:rsidR="006C4239" w:rsidRPr="00D51AE5" w:rsidRDefault="006C4239" w:rsidP="006C4239">
            <w:pPr>
              <w:pStyle w:val="ListParagraph"/>
              <w:widowControl w:val="0"/>
              <w:autoSpaceDE w:val="0"/>
              <w:autoSpaceDN w:val="0"/>
              <w:ind w:left="851"/>
              <w:jc w:val="both"/>
            </w:pPr>
          </w:p>
        </w:tc>
      </w:tr>
      <w:tr w:rsidR="006C4239" w:rsidRPr="00D51AE5" w14:paraId="03B7A6B6" w14:textId="639D43C4" w:rsidTr="007639A7">
        <w:tc>
          <w:tcPr>
            <w:tcW w:w="6044" w:type="dxa"/>
          </w:tcPr>
          <w:p w14:paraId="7A6B5C0F"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“RE Applicant” </w:t>
            </w:r>
            <w:r w:rsidRPr="00D51AE5">
              <w:t xml:space="preserve">refers to any Person, subject to </w:t>
            </w:r>
            <w:r w:rsidRPr="00D51AE5">
              <w:lastRenderedPageBreak/>
              <w:t>the limitations provided in this Circular, who applies for the assessment, exploration, harnessing, development, utilization and commercialization of RE Resources.</w:t>
            </w:r>
          </w:p>
        </w:tc>
        <w:tc>
          <w:tcPr>
            <w:tcW w:w="3590" w:type="dxa"/>
          </w:tcPr>
          <w:p w14:paraId="239FC19A" w14:textId="77777777" w:rsidR="006C4239" w:rsidRPr="00D51AE5" w:rsidRDefault="006C4239" w:rsidP="006C4239">
            <w:pPr>
              <w:pStyle w:val="ListParagraph"/>
              <w:widowControl w:val="0"/>
              <w:autoSpaceDE w:val="0"/>
              <w:autoSpaceDN w:val="0"/>
              <w:ind w:left="851"/>
              <w:jc w:val="both"/>
            </w:pPr>
          </w:p>
        </w:tc>
        <w:tc>
          <w:tcPr>
            <w:tcW w:w="4267" w:type="dxa"/>
          </w:tcPr>
          <w:p w14:paraId="233DA912" w14:textId="77777777" w:rsidR="006C4239" w:rsidRPr="00D51AE5" w:rsidRDefault="006C4239" w:rsidP="006C4239">
            <w:pPr>
              <w:pStyle w:val="ListParagraph"/>
              <w:widowControl w:val="0"/>
              <w:autoSpaceDE w:val="0"/>
              <w:autoSpaceDN w:val="0"/>
              <w:ind w:left="851"/>
              <w:jc w:val="both"/>
            </w:pPr>
          </w:p>
        </w:tc>
      </w:tr>
      <w:tr w:rsidR="0068253B" w:rsidRPr="00D51AE5" w14:paraId="13BB51D6" w14:textId="77777777" w:rsidTr="007639A7">
        <w:tc>
          <w:tcPr>
            <w:tcW w:w="6044" w:type="dxa"/>
          </w:tcPr>
          <w:p w14:paraId="138D1E36" w14:textId="34852F45" w:rsidR="0068253B" w:rsidRPr="00CA49B8" w:rsidRDefault="00CA49B8" w:rsidP="00CA49B8">
            <w:pPr>
              <w:pStyle w:val="ListParagraph"/>
              <w:widowControl w:val="0"/>
              <w:numPr>
                <w:ilvl w:val="1"/>
                <w:numId w:val="4"/>
              </w:numPr>
              <w:autoSpaceDE w:val="0"/>
              <w:autoSpaceDN w:val="0"/>
              <w:ind w:left="851" w:hanging="567"/>
              <w:jc w:val="both"/>
            </w:pPr>
            <w:r w:rsidRPr="002D38FB">
              <w:rPr>
                <w:i/>
              </w:rPr>
              <w:t xml:space="preserve">“RE Application” </w:t>
            </w:r>
            <w:r w:rsidRPr="002D38FB">
              <w:t>refers to the set of documents submitted by RE Applicants pertaining to their legal, technical and financial qualifications to enter into an RE Contract with the government, throug</w:t>
            </w:r>
            <w:r>
              <w:t xml:space="preserve">h </w:t>
            </w:r>
            <w:r w:rsidRPr="002D38FB">
              <w:t xml:space="preserve">OCSP or Direct Application, in accordance with the requirements under this Circular. </w:t>
            </w:r>
          </w:p>
        </w:tc>
        <w:tc>
          <w:tcPr>
            <w:tcW w:w="3590" w:type="dxa"/>
          </w:tcPr>
          <w:p w14:paraId="27CCBF68" w14:textId="77777777" w:rsidR="0068253B" w:rsidRPr="00D51AE5" w:rsidRDefault="0068253B" w:rsidP="006C4239">
            <w:pPr>
              <w:pStyle w:val="ListParagraph"/>
              <w:widowControl w:val="0"/>
              <w:autoSpaceDE w:val="0"/>
              <w:autoSpaceDN w:val="0"/>
              <w:ind w:left="851"/>
              <w:jc w:val="both"/>
            </w:pPr>
          </w:p>
        </w:tc>
        <w:tc>
          <w:tcPr>
            <w:tcW w:w="4267" w:type="dxa"/>
          </w:tcPr>
          <w:p w14:paraId="74D7BEB0" w14:textId="77777777" w:rsidR="0068253B" w:rsidRPr="00D51AE5" w:rsidRDefault="0068253B" w:rsidP="006C4239">
            <w:pPr>
              <w:pStyle w:val="ListParagraph"/>
              <w:widowControl w:val="0"/>
              <w:autoSpaceDE w:val="0"/>
              <w:autoSpaceDN w:val="0"/>
              <w:ind w:left="851"/>
              <w:jc w:val="both"/>
            </w:pPr>
          </w:p>
        </w:tc>
      </w:tr>
      <w:tr w:rsidR="006C4239" w:rsidRPr="00D51AE5" w14:paraId="130A3445" w14:textId="7110C7CC" w:rsidTr="007639A7">
        <w:tc>
          <w:tcPr>
            <w:tcW w:w="6044" w:type="dxa"/>
          </w:tcPr>
          <w:p w14:paraId="1F3A1A28"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spacing w:val="-2"/>
              </w:rPr>
              <w:t xml:space="preserve"> </w:t>
            </w:r>
            <w:r w:rsidRPr="00D51AE5">
              <w:rPr>
                <w:i/>
              </w:rPr>
              <w:t xml:space="preserve">“RE Contract” </w:t>
            </w:r>
            <w:r w:rsidRPr="00D51AE5">
              <w:t>refers</w:t>
            </w:r>
            <w:r w:rsidRPr="00D51AE5">
              <w:rPr>
                <w:spacing w:val="-3"/>
              </w:rPr>
              <w:t xml:space="preserve"> </w:t>
            </w:r>
            <w:r w:rsidRPr="00D51AE5">
              <w:t>to</w:t>
            </w:r>
            <w:r w:rsidRPr="00D51AE5">
              <w:rPr>
                <w:spacing w:val="-3"/>
              </w:rPr>
              <w:t xml:space="preserve"> </w:t>
            </w:r>
            <w:r w:rsidRPr="00D51AE5">
              <w:t>the</w:t>
            </w:r>
            <w:r w:rsidRPr="00D51AE5">
              <w:rPr>
                <w:spacing w:val="-5"/>
              </w:rPr>
              <w:t xml:space="preserve"> </w:t>
            </w:r>
            <w:r w:rsidRPr="00D51AE5">
              <w:t>service</w:t>
            </w:r>
            <w:r w:rsidRPr="00D51AE5">
              <w:rPr>
                <w:spacing w:val="-5"/>
              </w:rPr>
              <w:t xml:space="preserve"> </w:t>
            </w:r>
            <w:r w:rsidRPr="00D51AE5">
              <w:t>agreement</w:t>
            </w:r>
            <w:r w:rsidRPr="00D51AE5">
              <w:rPr>
                <w:spacing w:val="-2"/>
              </w:rPr>
              <w:t xml:space="preserve"> </w:t>
            </w:r>
            <w:r w:rsidRPr="00D51AE5">
              <w:t>between</w:t>
            </w:r>
            <w:r w:rsidRPr="00D51AE5">
              <w:rPr>
                <w:spacing w:val="-1"/>
              </w:rPr>
              <w:t xml:space="preserve"> </w:t>
            </w:r>
            <w:r w:rsidRPr="00D51AE5">
              <w:t>the</w:t>
            </w:r>
            <w:r w:rsidRPr="00D51AE5">
              <w:rPr>
                <w:spacing w:val="-5"/>
              </w:rPr>
              <w:t xml:space="preserve"> </w:t>
            </w:r>
            <w:r w:rsidRPr="00D51AE5">
              <w:t>Government,</w:t>
            </w:r>
            <w:r w:rsidRPr="00D51AE5">
              <w:rPr>
                <w:spacing w:val="-3"/>
              </w:rPr>
              <w:t xml:space="preserve"> </w:t>
            </w:r>
            <w:r w:rsidRPr="00D51AE5">
              <w:t>through</w:t>
            </w:r>
            <w:r w:rsidRPr="00D51AE5">
              <w:rPr>
                <w:spacing w:val="-5"/>
              </w:rPr>
              <w:t xml:space="preserve"> </w:t>
            </w:r>
            <w:r w:rsidRPr="00D51AE5">
              <w:t>the DOE, and an RE Developer over an appropriate period as determined by the DOE which grants to the RE Developer the exclusive right to explore, develop, or utilize the RE Resource within a particular area. The RE Contract may be in the nature of a financial or technical assistance agreement which shall be entered into by the Government, through the President of the Philippines, pursuant to Article XII, Section 2 of the Philippine Constitution.</w:t>
            </w:r>
          </w:p>
        </w:tc>
        <w:tc>
          <w:tcPr>
            <w:tcW w:w="3590" w:type="dxa"/>
          </w:tcPr>
          <w:p w14:paraId="19A1A5E8" w14:textId="77777777" w:rsidR="006C4239" w:rsidRPr="00D51AE5" w:rsidRDefault="006C4239" w:rsidP="006C4239">
            <w:pPr>
              <w:pStyle w:val="ListParagraph"/>
              <w:widowControl w:val="0"/>
              <w:autoSpaceDE w:val="0"/>
              <w:autoSpaceDN w:val="0"/>
              <w:ind w:left="851"/>
              <w:jc w:val="both"/>
              <w:rPr>
                <w:spacing w:val="-2"/>
              </w:rPr>
            </w:pPr>
          </w:p>
        </w:tc>
        <w:tc>
          <w:tcPr>
            <w:tcW w:w="4267" w:type="dxa"/>
          </w:tcPr>
          <w:p w14:paraId="2BCDCA0F" w14:textId="77777777" w:rsidR="006C4239" w:rsidRPr="00D51AE5" w:rsidRDefault="006C4239" w:rsidP="006C4239">
            <w:pPr>
              <w:pStyle w:val="ListParagraph"/>
              <w:widowControl w:val="0"/>
              <w:autoSpaceDE w:val="0"/>
              <w:autoSpaceDN w:val="0"/>
              <w:ind w:left="851"/>
              <w:jc w:val="both"/>
              <w:rPr>
                <w:spacing w:val="-2"/>
              </w:rPr>
            </w:pPr>
          </w:p>
        </w:tc>
      </w:tr>
      <w:tr w:rsidR="006C4239" w:rsidRPr="00D51AE5" w14:paraId="0FAF1168" w14:textId="0C8BEC0B" w:rsidTr="007639A7">
        <w:tc>
          <w:tcPr>
            <w:tcW w:w="6044" w:type="dxa"/>
          </w:tcPr>
          <w:p w14:paraId="32D77BA4"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“RE Developer” </w:t>
            </w:r>
            <w:r w:rsidRPr="00D51AE5">
              <w:t>refers to an individual or juridical entity created,</w:t>
            </w:r>
            <w:r w:rsidRPr="00D51AE5">
              <w:rPr>
                <w:spacing w:val="80"/>
              </w:rPr>
              <w:t xml:space="preserve"> </w:t>
            </w:r>
            <w:r w:rsidRPr="00D51AE5">
              <w:t xml:space="preserve">registered and/or authorized to operate in the Philippines in accordance with existing Philippine laws, and </w:t>
            </w:r>
            <w:r w:rsidRPr="00D51AE5">
              <w:lastRenderedPageBreak/>
              <w:t>engaged in the exploration, development and/or utilization of RE Resources, and actual operation of RE Project. It shall</w:t>
            </w:r>
            <w:r w:rsidRPr="00D51AE5">
              <w:rPr>
                <w:spacing w:val="40"/>
              </w:rPr>
              <w:t xml:space="preserve"> </w:t>
            </w:r>
            <w:r w:rsidRPr="00D51AE5">
              <w:t>include existing entities engaged in the exploration, development and/or utilization of RE Resources, or the generation of electricity from RE Resources, or both.</w:t>
            </w:r>
          </w:p>
        </w:tc>
        <w:tc>
          <w:tcPr>
            <w:tcW w:w="3590" w:type="dxa"/>
          </w:tcPr>
          <w:p w14:paraId="4B132C8D" w14:textId="77777777" w:rsidR="006C4239" w:rsidRPr="00D51AE5" w:rsidRDefault="006C4239" w:rsidP="006C4239">
            <w:pPr>
              <w:pStyle w:val="ListParagraph"/>
              <w:widowControl w:val="0"/>
              <w:autoSpaceDE w:val="0"/>
              <w:autoSpaceDN w:val="0"/>
              <w:ind w:left="851"/>
              <w:jc w:val="both"/>
            </w:pPr>
          </w:p>
        </w:tc>
        <w:tc>
          <w:tcPr>
            <w:tcW w:w="4267" w:type="dxa"/>
          </w:tcPr>
          <w:p w14:paraId="6EEB1B9D" w14:textId="77777777" w:rsidR="006C4239" w:rsidRPr="00D51AE5" w:rsidRDefault="006C4239" w:rsidP="006C4239">
            <w:pPr>
              <w:pStyle w:val="ListParagraph"/>
              <w:widowControl w:val="0"/>
              <w:autoSpaceDE w:val="0"/>
              <w:autoSpaceDN w:val="0"/>
              <w:ind w:left="851"/>
              <w:jc w:val="both"/>
            </w:pPr>
          </w:p>
        </w:tc>
      </w:tr>
      <w:tr w:rsidR="006C4239" w:rsidRPr="00D51AE5" w14:paraId="5F3DE3CF" w14:textId="275EAB07" w:rsidTr="007639A7">
        <w:tc>
          <w:tcPr>
            <w:tcW w:w="6044" w:type="dxa"/>
          </w:tcPr>
          <w:p w14:paraId="7E2B53E1"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“RE Operating Contract” </w:t>
            </w:r>
            <w:r w:rsidRPr="00D51AE5">
              <w:t>refers to the service agreement between the DOE and RE Developer for the development and/or utilization of biomass, solar and other RE Resources as may be determined by the DOE which, due to their inherent technical characteristics, need not go through Pre-Development Stage.</w:t>
            </w:r>
          </w:p>
        </w:tc>
        <w:tc>
          <w:tcPr>
            <w:tcW w:w="3590" w:type="dxa"/>
          </w:tcPr>
          <w:p w14:paraId="5140CFBE" w14:textId="77777777" w:rsidR="006C4239" w:rsidRPr="00D51AE5" w:rsidRDefault="006C4239" w:rsidP="006C4239">
            <w:pPr>
              <w:pStyle w:val="ListParagraph"/>
              <w:widowControl w:val="0"/>
              <w:autoSpaceDE w:val="0"/>
              <w:autoSpaceDN w:val="0"/>
              <w:ind w:left="851"/>
              <w:jc w:val="both"/>
            </w:pPr>
          </w:p>
        </w:tc>
        <w:tc>
          <w:tcPr>
            <w:tcW w:w="4267" w:type="dxa"/>
          </w:tcPr>
          <w:p w14:paraId="75D3F8F1" w14:textId="77777777" w:rsidR="006C4239" w:rsidRPr="00D51AE5" w:rsidRDefault="006C4239" w:rsidP="006C4239">
            <w:pPr>
              <w:pStyle w:val="ListParagraph"/>
              <w:widowControl w:val="0"/>
              <w:autoSpaceDE w:val="0"/>
              <w:autoSpaceDN w:val="0"/>
              <w:ind w:left="851"/>
              <w:jc w:val="both"/>
            </w:pPr>
          </w:p>
        </w:tc>
      </w:tr>
      <w:tr w:rsidR="006C4239" w:rsidRPr="00D51AE5" w14:paraId="6400F76F" w14:textId="0B1C6D8A" w:rsidTr="007639A7">
        <w:tc>
          <w:tcPr>
            <w:tcW w:w="6044" w:type="dxa"/>
          </w:tcPr>
          <w:p w14:paraId="6B923B7C"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“RE Project” </w:t>
            </w:r>
            <w:r w:rsidRPr="00D51AE5">
              <w:t>refers to the power generation and related facilities utilizing RE Resources under a particular RE Contract or COR issued by the DOE pursuant to the RE Act.</w:t>
            </w:r>
          </w:p>
        </w:tc>
        <w:tc>
          <w:tcPr>
            <w:tcW w:w="3590" w:type="dxa"/>
          </w:tcPr>
          <w:p w14:paraId="0DE02C75" w14:textId="77777777" w:rsidR="006C4239" w:rsidRPr="00D51AE5" w:rsidRDefault="006C4239" w:rsidP="006C4239">
            <w:pPr>
              <w:pStyle w:val="ListParagraph"/>
              <w:widowControl w:val="0"/>
              <w:autoSpaceDE w:val="0"/>
              <w:autoSpaceDN w:val="0"/>
              <w:ind w:left="851"/>
              <w:jc w:val="both"/>
            </w:pPr>
          </w:p>
        </w:tc>
        <w:tc>
          <w:tcPr>
            <w:tcW w:w="4267" w:type="dxa"/>
          </w:tcPr>
          <w:p w14:paraId="5CA2F42A" w14:textId="77777777" w:rsidR="006C4239" w:rsidRPr="00D51AE5" w:rsidRDefault="006C4239" w:rsidP="006C4239">
            <w:pPr>
              <w:pStyle w:val="ListParagraph"/>
              <w:widowControl w:val="0"/>
              <w:autoSpaceDE w:val="0"/>
              <w:autoSpaceDN w:val="0"/>
              <w:ind w:left="851"/>
              <w:jc w:val="both"/>
            </w:pPr>
          </w:p>
        </w:tc>
      </w:tr>
      <w:tr w:rsidR="006C4239" w:rsidRPr="00D51AE5" w14:paraId="686EAAD9" w14:textId="7C28AA9F" w:rsidTr="007639A7">
        <w:tc>
          <w:tcPr>
            <w:tcW w:w="6044" w:type="dxa"/>
          </w:tcPr>
          <w:p w14:paraId="624ABE2D"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“RE Project for Non-Commercial Operations” </w:t>
            </w:r>
            <w:r w:rsidRPr="00D51AE5">
              <w:t>refers to an RE Project which is intended for demonstration purposes of any new or modified RE technologies, and those that are covered by Official Development Assistance (ODA), and all other programs and projects which are not designed</w:t>
            </w:r>
            <w:r w:rsidRPr="00D51AE5">
              <w:rPr>
                <w:spacing w:val="40"/>
              </w:rPr>
              <w:t xml:space="preserve"> </w:t>
            </w:r>
            <w:r w:rsidRPr="00D51AE5">
              <w:t>and operated for profit.</w:t>
            </w:r>
          </w:p>
        </w:tc>
        <w:tc>
          <w:tcPr>
            <w:tcW w:w="3590" w:type="dxa"/>
          </w:tcPr>
          <w:p w14:paraId="7CD12FB9" w14:textId="77777777" w:rsidR="006C4239" w:rsidRPr="00D51AE5" w:rsidRDefault="006C4239" w:rsidP="006C4239">
            <w:pPr>
              <w:pStyle w:val="ListParagraph"/>
              <w:widowControl w:val="0"/>
              <w:autoSpaceDE w:val="0"/>
              <w:autoSpaceDN w:val="0"/>
              <w:ind w:left="851"/>
              <w:jc w:val="both"/>
            </w:pPr>
          </w:p>
        </w:tc>
        <w:tc>
          <w:tcPr>
            <w:tcW w:w="4267" w:type="dxa"/>
          </w:tcPr>
          <w:p w14:paraId="3F2687CE" w14:textId="77777777" w:rsidR="006C4239" w:rsidRPr="00D51AE5" w:rsidRDefault="006C4239" w:rsidP="006C4239">
            <w:pPr>
              <w:pStyle w:val="ListParagraph"/>
              <w:widowControl w:val="0"/>
              <w:autoSpaceDE w:val="0"/>
              <w:autoSpaceDN w:val="0"/>
              <w:ind w:left="851"/>
              <w:jc w:val="both"/>
            </w:pPr>
          </w:p>
        </w:tc>
      </w:tr>
      <w:tr w:rsidR="006C4239" w:rsidRPr="00D51AE5" w14:paraId="227CB0FD" w14:textId="06788984" w:rsidTr="007639A7">
        <w:tc>
          <w:tcPr>
            <w:tcW w:w="6044" w:type="dxa"/>
          </w:tcPr>
          <w:p w14:paraId="1ADCC4F5"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 xml:space="preserve">“RE Project for Own-Use” </w:t>
            </w:r>
            <w:r w:rsidRPr="00D51AE5">
              <w:t xml:space="preserve">refers to an RE </w:t>
            </w:r>
            <w:r w:rsidRPr="00D51AE5">
              <w:lastRenderedPageBreak/>
              <w:t>Project located within the premises of or in an area contiguous to an End-User’s premises, and</w:t>
            </w:r>
            <w:r w:rsidRPr="00D51AE5">
              <w:rPr>
                <w:spacing w:val="40"/>
              </w:rPr>
              <w:t xml:space="preserve"> </w:t>
            </w:r>
            <w:r w:rsidRPr="00D51AE5">
              <w:t>operated solely for the supply of a portion or all of the electricity requirements of such End-User.</w:t>
            </w:r>
            <w:r w:rsidRPr="00D51AE5">
              <w:rPr>
                <w:spacing w:val="80"/>
              </w:rPr>
              <w:t xml:space="preserve"> </w:t>
            </w:r>
            <w:r w:rsidRPr="00D51AE5">
              <w:t xml:space="preserve">For this purpose, an </w:t>
            </w:r>
            <w:r w:rsidRPr="00D51AE5">
              <w:rPr>
                <w:i/>
              </w:rPr>
              <w:t xml:space="preserve">“End-User” </w:t>
            </w:r>
            <w:r w:rsidRPr="00D51AE5">
              <w:t xml:space="preserve">shall refer to any person or entity requiring the supply and delivery of electricity generated by the RE Project dedicated for its own consumption, which facility is installed either by the End-User or through a third-party provider. </w:t>
            </w:r>
          </w:p>
        </w:tc>
        <w:tc>
          <w:tcPr>
            <w:tcW w:w="3590" w:type="dxa"/>
          </w:tcPr>
          <w:p w14:paraId="6E45C2B1" w14:textId="77777777" w:rsidR="006C4239" w:rsidRPr="00D51AE5" w:rsidRDefault="006C4239" w:rsidP="006C4239">
            <w:pPr>
              <w:pStyle w:val="ListParagraph"/>
              <w:widowControl w:val="0"/>
              <w:autoSpaceDE w:val="0"/>
              <w:autoSpaceDN w:val="0"/>
              <w:ind w:left="851"/>
              <w:jc w:val="both"/>
              <w:rPr>
                <w:i/>
              </w:rPr>
            </w:pPr>
          </w:p>
        </w:tc>
        <w:tc>
          <w:tcPr>
            <w:tcW w:w="4267" w:type="dxa"/>
          </w:tcPr>
          <w:p w14:paraId="59402ED2" w14:textId="77777777" w:rsidR="006C4239" w:rsidRPr="00D51AE5" w:rsidRDefault="006C4239" w:rsidP="006C4239">
            <w:pPr>
              <w:pStyle w:val="ListParagraph"/>
              <w:widowControl w:val="0"/>
              <w:autoSpaceDE w:val="0"/>
              <w:autoSpaceDN w:val="0"/>
              <w:ind w:left="851"/>
              <w:jc w:val="both"/>
              <w:rPr>
                <w:i/>
              </w:rPr>
            </w:pPr>
          </w:p>
        </w:tc>
      </w:tr>
      <w:tr w:rsidR="006C4239" w:rsidRPr="00D51AE5" w14:paraId="65E4FA55" w14:textId="712623DF" w:rsidTr="007639A7">
        <w:tc>
          <w:tcPr>
            <w:tcW w:w="6044" w:type="dxa"/>
          </w:tcPr>
          <w:p w14:paraId="706ECE15"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
              </w:rPr>
              <w:t xml:space="preserve">“RE Resource” </w:t>
            </w:r>
            <w:r w:rsidRPr="00D51AE5">
              <w:t>refers to energy resources that do not have an upper limit on the total quantity to be used. Such resources are renewable on a regular basis, and whose renewal rate is relatively rapid to consider availability over an indefinite period of time. These include, but are not limited to, biomass, solar, wind, geothermal, ocean energy, and hydropower, conforming with internationally accepted norms and standards on dams, and other emerging RE technologies.</w:t>
            </w:r>
          </w:p>
        </w:tc>
        <w:tc>
          <w:tcPr>
            <w:tcW w:w="3590" w:type="dxa"/>
          </w:tcPr>
          <w:p w14:paraId="635EAD09" w14:textId="77777777" w:rsidR="006C4239" w:rsidRPr="00D51AE5" w:rsidRDefault="006C4239" w:rsidP="006C4239">
            <w:pPr>
              <w:pStyle w:val="ListParagraph"/>
              <w:widowControl w:val="0"/>
              <w:autoSpaceDE w:val="0"/>
              <w:autoSpaceDN w:val="0"/>
              <w:ind w:left="851"/>
              <w:jc w:val="both"/>
              <w:rPr>
                <w:i/>
              </w:rPr>
            </w:pPr>
          </w:p>
        </w:tc>
        <w:tc>
          <w:tcPr>
            <w:tcW w:w="4267" w:type="dxa"/>
          </w:tcPr>
          <w:p w14:paraId="5F3B036B" w14:textId="77777777" w:rsidR="006C4239" w:rsidRPr="00D51AE5" w:rsidRDefault="006C4239" w:rsidP="006C4239">
            <w:pPr>
              <w:pStyle w:val="ListParagraph"/>
              <w:widowControl w:val="0"/>
              <w:autoSpaceDE w:val="0"/>
              <w:autoSpaceDN w:val="0"/>
              <w:ind w:left="851"/>
              <w:jc w:val="both"/>
              <w:rPr>
                <w:i/>
              </w:rPr>
            </w:pPr>
          </w:p>
        </w:tc>
      </w:tr>
      <w:tr w:rsidR="006C4239" w:rsidRPr="00D51AE5" w14:paraId="4D74176A" w14:textId="5EF00442" w:rsidTr="007639A7">
        <w:tc>
          <w:tcPr>
            <w:tcW w:w="6044" w:type="dxa"/>
          </w:tcPr>
          <w:p w14:paraId="7143B498"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“RE Service Contract” </w:t>
            </w:r>
            <w:r w:rsidRPr="00D51AE5">
              <w:t xml:space="preserve">refers to a service agreement between the Philippine Government, through the President or the DOE Secretary, and RE Developer, covering an appropriate period as stated therein, in which the RE Developer shall have the exclusive right </w:t>
            </w:r>
            <w:r w:rsidRPr="00D51AE5">
              <w:lastRenderedPageBreak/>
              <w:t>to explore, develop and utilize geothermal, hydropower, wind, ocean and other RE Resources within a particular area.</w:t>
            </w:r>
          </w:p>
        </w:tc>
        <w:tc>
          <w:tcPr>
            <w:tcW w:w="3590" w:type="dxa"/>
          </w:tcPr>
          <w:p w14:paraId="7034AC05" w14:textId="77777777" w:rsidR="006C4239" w:rsidRPr="00D51AE5" w:rsidRDefault="006C4239" w:rsidP="006C4239">
            <w:pPr>
              <w:pStyle w:val="ListParagraph"/>
              <w:widowControl w:val="0"/>
              <w:autoSpaceDE w:val="0"/>
              <w:autoSpaceDN w:val="0"/>
              <w:ind w:left="851"/>
              <w:jc w:val="both"/>
            </w:pPr>
          </w:p>
        </w:tc>
        <w:tc>
          <w:tcPr>
            <w:tcW w:w="4267" w:type="dxa"/>
          </w:tcPr>
          <w:p w14:paraId="38E047EC" w14:textId="77777777" w:rsidR="006C4239" w:rsidRPr="00D51AE5" w:rsidRDefault="006C4239" w:rsidP="006C4239">
            <w:pPr>
              <w:pStyle w:val="ListParagraph"/>
              <w:widowControl w:val="0"/>
              <w:autoSpaceDE w:val="0"/>
              <w:autoSpaceDN w:val="0"/>
              <w:ind w:left="851"/>
              <w:jc w:val="both"/>
            </w:pPr>
          </w:p>
        </w:tc>
      </w:tr>
      <w:tr w:rsidR="006C4239" w:rsidRPr="00D51AE5" w14:paraId="6B787707" w14:textId="67A27745" w:rsidTr="007639A7">
        <w:tc>
          <w:tcPr>
            <w:tcW w:w="6044" w:type="dxa"/>
          </w:tcPr>
          <w:p w14:paraId="53C94568"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“Renewable Energy Management Bureau” </w:t>
            </w:r>
            <w:r w:rsidRPr="00D51AE5">
              <w:t xml:space="preserve">or </w:t>
            </w:r>
            <w:r w:rsidRPr="00D51AE5">
              <w:rPr>
                <w:i/>
              </w:rPr>
              <w:t xml:space="preserve">“REMB” </w:t>
            </w:r>
            <w:r w:rsidRPr="00D51AE5">
              <w:t>refers to the unit of the DOE created under Section 32 of the RE Act, mandated to,</w:t>
            </w:r>
            <w:r w:rsidRPr="00D51AE5">
              <w:rPr>
                <w:spacing w:val="-3"/>
              </w:rPr>
              <w:t xml:space="preserve"> </w:t>
            </w:r>
            <w:r w:rsidRPr="00D51AE5">
              <w:t>among</w:t>
            </w:r>
            <w:r w:rsidRPr="00D51AE5">
              <w:rPr>
                <w:spacing w:val="-6"/>
              </w:rPr>
              <w:t xml:space="preserve"> </w:t>
            </w:r>
            <w:r w:rsidRPr="00D51AE5">
              <w:t>others,</w:t>
            </w:r>
            <w:r w:rsidRPr="00D51AE5">
              <w:rPr>
                <w:spacing w:val="-1"/>
              </w:rPr>
              <w:t xml:space="preserve"> </w:t>
            </w:r>
            <w:r w:rsidRPr="00D51AE5">
              <w:t>implement</w:t>
            </w:r>
            <w:r w:rsidRPr="00D51AE5">
              <w:rPr>
                <w:spacing w:val="-1"/>
              </w:rPr>
              <w:t xml:space="preserve"> </w:t>
            </w:r>
            <w:r w:rsidRPr="00D51AE5">
              <w:t>policies,</w:t>
            </w:r>
            <w:r w:rsidRPr="00D51AE5">
              <w:rPr>
                <w:spacing w:val="-4"/>
              </w:rPr>
              <w:t xml:space="preserve"> </w:t>
            </w:r>
            <w:r w:rsidRPr="00D51AE5">
              <w:t>plans,</w:t>
            </w:r>
            <w:r w:rsidRPr="00D51AE5">
              <w:rPr>
                <w:spacing w:val="-4"/>
              </w:rPr>
              <w:t xml:space="preserve"> </w:t>
            </w:r>
            <w:r w:rsidRPr="00D51AE5">
              <w:t>and</w:t>
            </w:r>
            <w:r w:rsidRPr="00D51AE5">
              <w:rPr>
                <w:spacing w:val="-6"/>
              </w:rPr>
              <w:t xml:space="preserve"> </w:t>
            </w:r>
            <w:r w:rsidRPr="00D51AE5">
              <w:t>programs</w:t>
            </w:r>
            <w:r w:rsidRPr="00D51AE5">
              <w:rPr>
                <w:spacing w:val="-4"/>
              </w:rPr>
              <w:t xml:space="preserve"> </w:t>
            </w:r>
            <w:r w:rsidRPr="00D51AE5">
              <w:t>aimed at accelerating the development, transformation, utilization, and commercialization of RE Resources and technologies.</w:t>
            </w:r>
          </w:p>
        </w:tc>
        <w:tc>
          <w:tcPr>
            <w:tcW w:w="3590" w:type="dxa"/>
          </w:tcPr>
          <w:p w14:paraId="497372E8" w14:textId="77777777" w:rsidR="006C4239" w:rsidRPr="00D51AE5" w:rsidRDefault="006C4239" w:rsidP="006C4239">
            <w:pPr>
              <w:pStyle w:val="ListParagraph"/>
              <w:widowControl w:val="0"/>
              <w:autoSpaceDE w:val="0"/>
              <w:autoSpaceDN w:val="0"/>
              <w:ind w:left="851"/>
              <w:jc w:val="both"/>
            </w:pPr>
          </w:p>
        </w:tc>
        <w:tc>
          <w:tcPr>
            <w:tcW w:w="4267" w:type="dxa"/>
          </w:tcPr>
          <w:p w14:paraId="5EC674D2" w14:textId="77777777" w:rsidR="006C4239" w:rsidRPr="00D51AE5" w:rsidRDefault="006C4239" w:rsidP="006C4239">
            <w:pPr>
              <w:pStyle w:val="ListParagraph"/>
              <w:widowControl w:val="0"/>
              <w:autoSpaceDE w:val="0"/>
              <w:autoSpaceDN w:val="0"/>
              <w:ind w:left="851"/>
              <w:jc w:val="both"/>
            </w:pPr>
          </w:p>
        </w:tc>
      </w:tr>
      <w:tr w:rsidR="006C4239" w:rsidRPr="00D51AE5" w14:paraId="30F66E0F" w14:textId="5BCD0149" w:rsidTr="007639A7">
        <w:tc>
          <w:tcPr>
            <w:tcW w:w="6044" w:type="dxa"/>
          </w:tcPr>
          <w:p w14:paraId="64EE9C7E"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“Solar Energy Operating Contract” </w:t>
            </w:r>
            <w:r w:rsidRPr="00D51AE5">
              <w:t xml:space="preserve">or </w:t>
            </w:r>
            <w:r w:rsidRPr="00D51AE5">
              <w:rPr>
                <w:i/>
              </w:rPr>
              <w:t xml:space="preserve">“SEOC” </w:t>
            </w:r>
            <w:r w:rsidRPr="00D51AE5">
              <w:t>refers to the RE Contract issued</w:t>
            </w:r>
            <w:r w:rsidRPr="00D51AE5">
              <w:rPr>
                <w:spacing w:val="-2"/>
              </w:rPr>
              <w:t xml:space="preserve"> </w:t>
            </w:r>
            <w:r w:rsidRPr="00D51AE5">
              <w:t>for the</w:t>
            </w:r>
            <w:r w:rsidRPr="00D51AE5">
              <w:rPr>
                <w:spacing w:val="-2"/>
              </w:rPr>
              <w:t xml:space="preserve"> </w:t>
            </w:r>
            <w:r w:rsidRPr="00D51AE5">
              <w:t>development and</w:t>
            </w:r>
            <w:r w:rsidRPr="00D51AE5">
              <w:rPr>
                <w:spacing w:val="-2"/>
              </w:rPr>
              <w:t xml:space="preserve"> </w:t>
            </w:r>
            <w:r w:rsidRPr="00D51AE5">
              <w:t>operation</w:t>
            </w:r>
            <w:r w:rsidRPr="00D51AE5">
              <w:rPr>
                <w:spacing w:val="-2"/>
              </w:rPr>
              <w:t xml:space="preserve"> </w:t>
            </w:r>
            <w:r w:rsidRPr="00D51AE5">
              <w:t>of RE Projects utilizing</w:t>
            </w:r>
            <w:r w:rsidRPr="00D51AE5">
              <w:rPr>
                <w:spacing w:val="-2"/>
              </w:rPr>
              <w:t xml:space="preserve"> </w:t>
            </w:r>
            <w:r w:rsidRPr="00D51AE5">
              <w:t>solar energy as RE Resource.</w:t>
            </w:r>
          </w:p>
        </w:tc>
        <w:tc>
          <w:tcPr>
            <w:tcW w:w="3590" w:type="dxa"/>
          </w:tcPr>
          <w:p w14:paraId="674D0F06" w14:textId="77777777" w:rsidR="006C4239" w:rsidRPr="00D51AE5" w:rsidRDefault="006C4239" w:rsidP="006C4239">
            <w:pPr>
              <w:pStyle w:val="ListParagraph"/>
              <w:widowControl w:val="0"/>
              <w:autoSpaceDE w:val="0"/>
              <w:autoSpaceDN w:val="0"/>
              <w:ind w:left="851"/>
              <w:jc w:val="both"/>
            </w:pPr>
          </w:p>
        </w:tc>
        <w:tc>
          <w:tcPr>
            <w:tcW w:w="4267" w:type="dxa"/>
          </w:tcPr>
          <w:p w14:paraId="62B73345" w14:textId="77777777" w:rsidR="006C4239" w:rsidRPr="00D51AE5" w:rsidRDefault="006C4239" w:rsidP="006C4239">
            <w:pPr>
              <w:pStyle w:val="ListParagraph"/>
              <w:widowControl w:val="0"/>
              <w:autoSpaceDE w:val="0"/>
              <w:autoSpaceDN w:val="0"/>
              <w:ind w:left="851"/>
              <w:jc w:val="both"/>
            </w:pPr>
          </w:p>
        </w:tc>
      </w:tr>
      <w:tr w:rsidR="006C4239" w:rsidRPr="00D51AE5" w14:paraId="715A4A7A" w14:textId="00D832BB" w:rsidTr="007639A7">
        <w:tc>
          <w:tcPr>
            <w:tcW w:w="6044" w:type="dxa"/>
          </w:tcPr>
          <w:p w14:paraId="29F9DB2E"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“Wind Energy Service Contract” </w:t>
            </w:r>
            <w:r w:rsidRPr="00D51AE5">
              <w:t xml:space="preserve">or </w:t>
            </w:r>
            <w:r w:rsidRPr="00D51AE5">
              <w:rPr>
                <w:i/>
              </w:rPr>
              <w:t xml:space="preserve">“WESC” </w:t>
            </w:r>
            <w:r w:rsidRPr="00D51AE5">
              <w:t>shall refer to the RE Contract issued for the exploration, development and/or utilization of wind energy as RE Resource for the operation of RE Projects.</w:t>
            </w:r>
            <w:r w:rsidRPr="00D51AE5">
              <w:tab/>
            </w:r>
          </w:p>
        </w:tc>
        <w:tc>
          <w:tcPr>
            <w:tcW w:w="3590" w:type="dxa"/>
          </w:tcPr>
          <w:p w14:paraId="6A9D6F33" w14:textId="77777777" w:rsidR="006C4239" w:rsidRPr="00D51AE5" w:rsidRDefault="006C4239" w:rsidP="006C4239">
            <w:pPr>
              <w:pStyle w:val="ListParagraph"/>
              <w:widowControl w:val="0"/>
              <w:autoSpaceDE w:val="0"/>
              <w:autoSpaceDN w:val="0"/>
              <w:ind w:left="851"/>
              <w:jc w:val="both"/>
            </w:pPr>
          </w:p>
        </w:tc>
        <w:tc>
          <w:tcPr>
            <w:tcW w:w="4267" w:type="dxa"/>
          </w:tcPr>
          <w:p w14:paraId="547DEF22" w14:textId="77777777" w:rsidR="006C4239" w:rsidRDefault="006C4239" w:rsidP="006C4239">
            <w:pPr>
              <w:pStyle w:val="ListParagraph"/>
              <w:widowControl w:val="0"/>
              <w:autoSpaceDE w:val="0"/>
              <w:autoSpaceDN w:val="0"/>
              <w:ind w:left="851"/>
              <w:jc w:val="both"/>
            </w:pPr>
          </w:p>
          <w:p w14:paraId="3DFDC1C6" w14:textId="77777777" w:rsidR="006C4239" w:rsidRDefault="006C4239" w:rsidP="006C4239">
            <w:pPr>
              <w:pStyle w:val="ListParagraph"/>
              <w:widowControl w:val="0"/>
              <w:autoSpaceDE w:val="0"/>
              <w:autoSpaceDN w:val="0"/>
              <w:ind w:left="851"/>
              <w:jc w:val="both"/>
            </w:pPr>
          </w:p>
          <w:p w14:paraId="490C1428" w14:textId="77777777" w:rsidR="006C4239" w:rsidRDefault="006C4239" w:rsidP="006C4239">
            <w:pPr>
              <w:pStyle w:val="ListParagraph"/>
              <w:widowControl w:val="0"/>
              <w:autoSpaceDE w:val="0"/>
              <w:autoSpaceDN w:val="0"/>
              <w:ind w:left="851"/>
              <w:jc w:val="both"/>
            </w:pPr>
          </w:p>
          <w:p w14:paraId="011EDF25" w14:textId="77777777" w:rsidR="006C4239" w:rsidRPr="00D51AE5" w:rsidRDefault="006C4239" w:rsidP="006C4239">
            <w:pPr>
              <w:pStyle w:val="ListParagraph"/>
              <w:widowControl w:val="0"/>
              <w:autoSpaceDE w:val="0"/>
              <w:autoSpaceDN w:val="0"/>
              <w:ind w:left="851"/>
              <w:jc w:val="both"/>
            </w:pPr>
          </w:p>
        </w:tc>
      </w:tr>
      <w:tr w:rsidR="006C4239" w:rsidRPr="00D51AE5" w14:paraId="0EE54594" w14:textId="3F179342" w:rsidTr="007639A7">
        <w:tc>
          <w:tcPr>
            <w:tcW w:w="6044" w:type="dxa"/>
          </w:tcPr>
          <w:p w14:paraId="1987EEEA"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t xml:space="preserve"> </w:t>
            </w:r>
            <w:r w:rsidRPr="00D51AE5">
              <w:rPr>
                <w:i/>
              </w:rPr>
              <w:t xml:space="preserve">“Offshore Wind Energy Service Contract” or “OSWESC” </w:t>
            </w:r>
            <w:r w:rsidRPr="00D51AE5">
              <w:rPr>
                <w:iCs/>
              </w:rPr>
              <w:t xml:space="preserve">refers to the RE Contract issued and awarded by the DOE for the exploration, development and/or utilization of wind energy in offshore areas, which include estuaries and other bodies of water. This includes WESCs awarded for offshore wind development prior to </w:t>
            </w:r>
            <w:r w:rsidRPr="00D51AE5">
              <w:rPr>
                <w:iCs/>
              </w:rPr>
              <w:lastRenderedPageBreak/>
              <w:t>the issuance of Executive Order No. 21 and its Implementing Guidelines.</w:t>
            </w:r>
          </w:p>
        </w:tc>
        <w:tc>
          <w:tcPr>
            <w:tcW w:w="3590" w:type="dxa"/>
          </w:tcPr>
          <w:p w14:paraId="600A725B" w14:textId="77777777" w:rsidR="006C4239" w:rsidRPr="00D51AE5" w:rsidRDefault="006C4239" w:rsidP="006C4239">
            <w:pPr>
              <w:pStyle w:val="ListParagraph"/>
              <w:widowControl w:val="0"/>
              <w:autoSpaceDE w:val="0"/>
              <w:autoSpaceDN w:val="0"/>
              <w:ind w:left="851"/>
              <w:jc w:val="both"/>
            </w:pPr>
          </w:p>
        </w:tc>
        <w:tc>
          <w:tcPr>
            <w:tcW w:w="4267" w:type="dxa"/>
          </w:tcPr>
          <w:p w14:paraId="06793262" w14:textId="77777777" w:rsidR="006C4239" w:rsidRPr="00D51AE5" w:rsidRDefault="006C4239" w:rsidP="006C4239">
            <w:pPr>
              <w:pStyle w:val="ListParagraph"/>
              <w:widowControl w:val="0"/>
              <w:autoSpaceDE w:val="0"/>
              <w:autoSpaceDN w:val="0"/>
              <w:ind w:left="851"/>
              <w:jc w:val="both"/>
            </w:pPr>
          </w:p>
        </w:tc>
      </w:tr>
      <w:tr w:rsidR="006C4239" w:rsidRPr="00D51AE5" w14:paraId="067D748C" w14:textId="45168351" w:rsidTr="007639A7">
        <w:tc>
          <w:tcPr>
            <w:tcW w:w="6044" w:type="dxa"/>
          </w:tcPr>
          <w:p w14:paraId="22AA9E09" w14:textId="77777777" w:rsidR="006C4239" w:rsidRPr="00D51AE5" w:rsidRDefault="006C4239" w:rsidP="006C4239">
            <w:pPr>
              <w:pStyle w:val="ListParagraph"/>
              <w:widowControl w:val="0"/>
              <w:numPr>
                <w:ilvl w:val="1"/>
                <w:numId w:val="4"/>
              </w:numPr>
              <w:autoSpaceDE w:val="0"/>
              <w:autoSpaceDN w:val="0"/>
              <w:ind w:left="851" w:hanging="567"/>
              <w:jc w:val="both"/>
            </w:pPr>
            <w:r w:rsidRPr="00D51AE5">
              <w:rPr>
                <w:iCs/>
              </w:rPr>
              <w:t xml:space="preserve"> </w:t>
            </w:r>
            <w:r w:rsidRPr="00D51AE5">
              <w:rPr>
                <w:i/>
              </w:rPr>
              <w:t xml:space="preserve">“Work Program” </w:t>
            </w:r>
            <w:r w:rsidRPr="00D51AE5">
              <w:t>refers to the plans and programs and other related activities formulated for the performance of the work obligations under the RE Contract by the RE Developer, along with the corresponding budgetary estimate, duly approved by the DOE.</w:t>
            </w:r>
          </w:p>
        </w:tc>
        <w:tc>
          <w:tcPr>
            <w:tcW w:w="3590" w:type="dxa"/>
          </w:tcPr>
          <w:p w14:paraId="255CC68E" w14:textId="77777777" w:rsidR="006C4239" w:rsidRPr="00D51AE5" w:rsidRDefault="006C4239" w:rsidP="006C4239">
            <w:pPr>
              <w:pStyle w:val="ListParagraph"/>
              <w:widowControl w:val="0"/>
              <w:autoSpaceDE w:val="0"/>
              <w:autoSpaceDN w:val="0"/>
              <w:ind w:left="851"/>
              <w:jc w:val="both"/>
              <w:rPr>
                <w:iCs/>
              </w:rPr>
            </w:pPr>
          </w:p>
        </w:tc>
        <w:tc>
          <w:tcPr>
            <w:tcW w:w="4267" w:type="dxa"/>
          </w:tcPr>
          <w:p w14:paraId="0BB88CED" w14:textId="77777777" w:rsidR="006C4239" w:rsidRPr="00D51AE5" w:rsidRDefault="006C4239" w:rsidP="006C4239">
            <w:pPr>
              <w:pStyle w:val="ListParagraph"/>
              <w:widowControl w:val="0"/>
              <w:autoSpaceDE w:val="0"/>
              <w:autoSpaceDN w:val="0"/>
              <w:ind w:left="851"/>
              <w:jc w:val="both"/>
              <w:rPr>
                <w:iCs/>
              </w:rPr>
            </w:pPr>
          </w:p>
        </w:tc>
      </w:tr>
      <w:tr w:rsidR="006C4239" w:rsidRPr="00D51AE5" w14:paraId="245E067D" w14:textId="0FD52086" w:rsidTr="007639A7">
        <w:tc>
          <w:tcPr>
            <w:tcW w:w="6044" w:type="dxa"/>
          </w:tcPr>
          <w:p w14:paraId="4EDA3632" w14:textId="77777777" w:rsidR="006C4239" w:rsidRPr="00D51AE5" w:rsidRDefault="006C4239" w:rsidP="006C4239">
            <w:pPr>
              <w:pStyle w:val="NoSpacing"/>
              <w:contextualSpacing/>
              <w:jc w:val="center"/>
              <w:rPr>
                <w:b/>
                <w:bCs/>
              </w:rPr>
            </w:pPr>
            <w:r w:rsidRPr="00D51AE5">
              <w:rPr>
                <w:b/>
                <w:bCs/>
              </w:rPr>
              <w:t>CHAPTER II – BIOMASS ENERGY RESOURCE</w:t>
            </w:r>
          </w:p>
        </w:tc>
        <w:tc>
          <w:tcPr>
            <w:tcW w:w="3590" w:type="dxa"/>
          </w:tcPr>
          <w:p w14:paraId="1DE6F2C6" w14:textId="77777777" w:rsidR="006C4239" w:rsidRPr="00D51AE5" w:rsidRDefault="006C4239" w:rsidP="006C4239">
            <w:pPr>
              <w:pStyle w:val="NoSpacing"/>
              <w:contextualSpacing/>
              <w:jc w:val="center"/>
              <w:rPr>
                <w:b/>
                <w:bCs/>
              </w:rPr>
            </w:pPr>
          </w:p>
        </w:tc>
        <w:tc>
          <w:tcPr>
            <w:tcW w:w="4267" w:type="dxa"/>
          </w:tcPr>
          <w:p w14:paraId="7E4D6B00" w14:textId="77777777" w:rsidR="006C4239" w:rsidRPr="00D51AE5" w:rsidRDefault="006C4239" w:rsidP="006C4239">
            <w:pPr>
              <w:pStyle w:val="NoSpacing"/>
              <w:contextualSpacing/>
              <w:jc w:val="center"/>
              <w:rPr>
                <w:b/>
                <w:bCs/>
              </w:rPr>
            </w:pPr>
          </w:p>
        </w:tc>
      </w:tr>
      <w:tr w:rsidR="006C4239" w:rsidRPr="00D51AE5" w14:paraId="167B709C" w14:textId="7D5B6C28" w:rsidTr="007639A7">
        <w:tc>
          <w:tcPr>
            <w:tcW w:w="6044" w:type="dxa"/>
          </w:tcPr>
          <w:p w14:paraId="462BB995" w14:textId="77777777" w:rsidR="006C4239" w:rsidRPr="00D51AE5" w:rsidRDefault="006C4239" w:rsidP="006C4239">
            <w:pPr>
              <w:pStyle w:val="NoSpacing"/>
              <w:contextualSpacing/>
              <w:jc w:val="center"/>
              <w:rPr>
                <w:b/>
                <w:bCs/>
              </w:rPr>
            </w:pPr>
            <w:r w:rsidRPr="00D51AE5">
              <w:rPr>
                <w:b/>
                <w:bCs/>
              </w:rPr>
              <w:t>CHAPTER III – GEOTHERMAL ENERGY RESOURCE</w:t>
            </w:r>
          </w:p>
        </w:tc>
        <w:tc>
          <w:tcPr>
            <w:tcW w:w="3590" w:type="dxa"/>
          </w:tcPr>
          <w:p w14:paraId="239F5A86" w14:textId="77777777" w:rsidR="006C4239" w:rsidRPr="00D51AE5" w:rsidRDefault="006C4239" w:rsidP="006C4239">
            <w:pPr>
              <w:pStyle w:val="NoSpacing"/>
              <w:contextualSpacing/>
              <w:jc w:val="center"/>
              <w:rPr>
                <w:b/>
                <w:bCs/>
              </w:rPr>
            </w:pPr>
          </w:p>
        </w:tc>
        <w:tc>
          <w:tcPr>
            <w:tcW w:w="4267" w:type="dxa"/>
          </w:tcPr>
          <w:p w14:paraId="37514740" w14:textId="77777777" w:rsidR="006C4239" w:rsidRPr="00D51AE5" w:rsidRDefault="006C4239" w:rsidP="006C4239">
            <w:pPr>
              <w:pStyle w:val="NoSpacing"/>
              <w:contextualSpacing/>
              <w:jc w:val="center"/>
              <w:rPr>
                <w:b/>
                <w:bCs/>
              </w:rPr>
            </w:pPr>
          </w:p>
        </w:tc>
      </w:tr>
      <w:tr w:rsidR="006C4239" w:rsidRPr="00D51AE5" w14:paraId="29DDA1B2" w14:textId="6D19F975" w:rsidTr="007639A7">
        <w:tc>
          <w:tcPr>
            <w:tcW w:w="6044" w:type="dxa"/>
          </w:tcPr>
          <w:p w14:paraId="189BBE3B" w14:textId="77777777" w:rsidR="006C4239" w:rsidRPr="00D51AE5" w:rsidRDefault="006C4239" w:rsidP="006C4239">
            <w:pPr>
              <w:pStyle w:val="NoSpacing"/>
              <w:contextualSpacing/>
              <w:jc w:val="center"/>
              <w:rPr>
                <w:b/>
                <w:bCs/>
              </w:rPr>
            </w:pPr>
            <w:r w:rsidRPr="00D51AE5">
              <w:rPr>
                <w:b/>
                <w:bCs/>
              </w:rPr>
              <w:t>CHAPTER IV – SOLAR ENERGY RESOURCE</w:t>
            </w:r>
          </w:p>
        </w:tc>
        <w:tc>
          <w:tcPr>
            <w:tcW w:w="3590" w:type="dxa"/>
          </w:tcPr>
          <w:p w14:paraId="56696EA4" w14:textId="77777777" w:rsidR="006C4239" w:rsidRPr="00D51AE5" w:rsidRDefault="006C4239" w:rsidP="006C4239">
            <w:pPr>
              <w:pStyle w:val="NoSpacing"/>
              <w:contextualSpacing/>
              <w:jc w:val="center"/>
              <w:rPr>
                <w:b/>
                <w:bCs/>
              </w:rPr>
            </w:pPr>
          </w:p>
        </w:tc>
        <w:tc>
          <w:tcPr>
            <w:tcW w:w="4267" w:type="dxa"/>
          </w:tcPr>
          <w:p w14:paraId="1883E342" w14:textId="77777777" w:rsidR="006C4239" w:rsidRPr="00D51AE5" w:rsidRDefault="006C4239" w:rsidP="006C4239">
            <w:pPr>
              <w:pStyle w:val="NoSpacing"/>
              <w:contextualSpacing/>
              <w:jc w:val="center"/>
              <w:rPr>
                <w:b/>
                <w:bCs/>
              </w:rPr>
            </w:pPr>
          </w:p>
        </w:tc>
      </w:tr>
      <w:tr w:rsidR="006C4239" w:rsidRPr="00D51AE5" w14:paraId="6F6B8177" w14:textId="5D42EE87" w:rsidTr="007639A7">
        <w:tc>
          <w:tcPr>
            <w:tcW w:w="6044" w:type="dxa"/>
          </w:tcPr>
          <w:p w14:paraId="56BEC3D4" w14:textId="77777777" w:rsidR="006C4239" w:rsidRPr="00D51AE5" w:rsidRDefault="006C4239" w:rsidP="006C4239">
            <w:pPr>
              <w:pStyle w:val="NoSpacing"/>
              <w:contextualSpacing/>
              <w:jc w:val="center"/>
              <w:rPr>
                <w:b/>
                <w:bCs/>
              </w:rPr>
            </w:pPr>
            <w:r w:rsidRPr="00D51AE5">
              <w:rPr>
                <w:b/>
                <w:bCs/>
              </w:rPr>
              <w:t>CHAPTER V– HYDROPOWER ENERGY RESOURCE</w:t>
            </w:r>
          </w:p>
        </w:tc>
        <w:tc>
          <w:tcPr>
            <w:tcW w:w="3590" w:type="dxa"/>
          </w:tcPr>
          <w:p w14:paraId="238301EB" w14:textId="77777777" w:rsidR="006C4239" w:rsidRPr="00D51AE5" w:rsidRDefault="006C4239" w:rsidP="006C4239">
            <w:pPr>
              <w:pStyle w:val="NoSpacing"/>
              <w:contextualSpacing/>
              <w:jc w:val="center"/>
              <w:rPr>
                <w:b/>
                <w:bCs/>
              </w:rPr>
            </w:pPr>
          </w:p>
        </w:tc>
        <w:tc>
          <w:tcPr>
            <w:tcW w:w="4267" w:type="dxa"/>
          </w:tcPr>
          <w:p w14:paraId="6BC58B54" w14:textId="77777777" w:rsidR="006C4239" w:rsidRPr="00D51AE5" w:rsidRDefault="006C4239" w:rsidP="006C4239">
            <w:pPr>
              <w:pStyle w:val="NoSpacing"/>
              <w:contextualSpacing/>
              <w:jc w:val="center"/>
              <w:rPr>
                <w:b/>
                <w:bCs/>
              </w:rPr>
            </w:pPr>
          </w:p>
        </w:tc>
      </w:tr>
      <w:tr w:rsidR="006C4239" w:rsidRPr="00D51AE5" w14:paraId="76037393" w14:textId="0C5E5D7D" w:rsidTr="007639A7">
        <w:tc>
          <w:tcPr>
            <w:tcW w:w="6044" w:type="dxa"/>
          </w:tcPr>
          <w:p w14:paraId="5E12102D" w14:textId="77777777" w:rsidR="006C4239" w:rsidRPr="00D51AE5" w:rsidRDefault="006C4239" w:rsidP="006C4239">
            <w:pPr>
              <w:contextualSpacing/>
              <w:jc w:val="both"/>
              <w:rPr>
                <w:rFonts w:ascii="Arial" w:hAnsi="Arial" w:cs="Arial"/>
                <w:iCs/>
              </w:rPr>
            </w:pPr>
            <w:r w:rsidRPr="00D51AE5">
              <w:rPr>
                <w:rFonts w:ascii="Arial" w:hAnsi="Arial" w:cs="Arial"/>
                <w:b/>
                <w:bCs/>
                <w:iCs/>
              </w:rPr>
              <w:t>Section 1. Eligibility of Hydropower Service Contract Applicant.</w:t>
            </w:r>
            <w:r w:rsidRPr="00D51AE5">
              <w:rPr>
                <w:rFonts w:ascii="Arial" w:hAnsi="Arial" w:cs="Arial"/>
                <w:iCs/>
              </w:rPr>
              <w:t xml:space="preserve"> Any Person, local or foreign, may apply for Hydropower Service Contract (HSC), subject to the provisions in this Chapter.</w:t>
            </w:r>
          </w:p>
        </w:tc>
        <w:tc>
          <w:tcPr>
            <w:tcW w:w="3590" w:type="dxa"/>
          </w:tcPr>
          <w:p w14:paraId="4341730B" w14:textId="77777777" w:rsidR="006C4239" w:rsidRPr="00D51AE5" w:rsidRDefault="006C4239" w:rsidP="006C4239">
            <w:pPr>
              <w:contextualSpacing/>
              <w:jc w:val="both"/>
              <w:rPr>
                <w:rFonts w:ascii="Arial" w:hAnsi="Arial" w:cs="Arial"/>
                <w:b/>
                <w:bCs/>
                <w:iCs/>
              </w:rPr>
            </w:pPr>
          </w:p>
        </w:tc>
        <w:tc>
          <w:tcPr>
            <w:tcW w:w="4267" w:type="dxa"/>
          </w:tcPr>
          <w:p w14:paraId="1B352F59" w14:textId="77777777" w:rsidR="006C4239" w:rsidRPr="00D51AE5" w:rsidRDefault="006C4239" w:rsidP="006C4239">
            <w:pPr>
              <w:contextualSpacing/>
              <w:jc w:val="both"/>
              <w:rPr>
                <w:rFonts w:ascii="Arial" w:hAnsi="Arial" w:cs="Arial"/>
                <w:b/>
                <w:bCs/>
                <w:iCs/>
              </w:rPr>
            </w:pPr>
          </w:p>
        </w:tc>
      </w:tr>
      <w:tr w:rsidR="006C4239" w:rsidRPr="00D51AE5" w14:paraId="421741A0" w14:textId="1F82E239" w:rsidTr="007639A7">
        <w:tc>
          <w:tcPr>
            <w:tcW w:w="6044" w:type="dxa"/>
          </w:tcPr>
          <w:p w14:paraId="6289232C" w14:textId="77777777" w:rsidR="006C4239" w:rsidRPr="00D51AE5" w:rsidRDefault="006C4239" w:rsidP="006C4239">
            <w:pPr>
              <w:pStyle w:val="ListParagraph"/>
              <w:numPr>
                <w:ilvl w:val="1"/>
                <w:numId w:val="5"/>
              </w:numPr>
              <w:jc w:val="both"/>
            </w:pPr>
            <w:r w:rsidRPr="00D51AE5">
              <w:t>The HSC Applicant may be a Filipino and/or a foreign citizen, or a Filipino- and/or foreign-owned corporation or association which is authorized by its articles or deed of incorporation to engage in hydropower exploration, development, and utilization.</w:t>
            </w:r>
          </w:p>
        </w:tc>
        <w:tc>
          <w:tcPr>
            <w:tcW w:w="3590" w:type="dxa"/>
          </w:tcPr>
          <w:p w14:paraId="74D294FC" w14:textId="77777777" w:rsidR="006C4239" w:rsidRPr="00D51AE5" w:rsidRDefault="006C4239" w:rsidP="006C4239">
            <w:pPr>
              <w:pStyle w:val="ListParagraph"/>
              <w:jc w:val="both"/>
            </w:pPr>
          </w:p>
        </w:tc>
        <w:tc>
          <w:tcPr>
            <w:tcW w:w="4267" w:type="dxa"/>
          </w:tcPr>
          <w:p w14:paraId="7B2D67CD" w14:textId="77777777" w:rsidR="006C4239" w:rsidRPr="00D51AE5" w:rsidRDefault="006C4239" w:rsidP="006C4239">
            <w:pPr>
              <w:pStyle w:val="ListParagraph"/>
              <w:jc w:val="both"/>
            </w:pPr>
          </w:p>
        </w:tc>
      </w:tr>
      <w:tr w:rsidR="006C4239" w:rsidRPr="00D51AE5" w14:paraId="447FFF2C" w14:textId="4E85EED9" w:rsidTr="007639A7">
        <w:tc>
          <w:tcPr>
            <w:tcW w:w="6044" w:type="dxa"/>
          </w:tcPr>
          <w:p w14:paraId="061A92D7" w14:textId="77777777" w:rsidR="006C4239" w:rsidRPr="00D51AE5" w:rsidRDefault="006C4239" w:rsidP="006C4239">
            <w:pPr>
              <w:pStyle w:val="ListParagraph"/>
              <w:numPr>
                <w:ilvl w:val="1"/>
                <w:numId w:val="5"/>
              </w:numPr>
              <w:jc w:val="both"/>
            </w:pPr>
            <w:r w:rsidRPr="00D51AE5">
              <w:t xml:space="preserve">The appropriation of water direct from a natural source shall be reserved to Filipino citizens or corporations or associations at least sixty </w:t>
            </w:r>
            <w:r w:rsidRPr="00D51AE5">
              <w:lastRenderedPageBreak/>
              <w:t>percent (60%) of whose capital is owned by Filipinos.</w:t>
            </w:r>
          </w:p>
        </w:tc>
        <w:tc>
          <w:tcPr>
            <w:tcW w:w="3590" w:type="dxa"/>
          </w:tcPr>
          <w:p w14:paraId="3E2F6677" w14:textId="77777777" w:rsidR="006C4239" w:rsidRPr="00D51AE5" w:rsidRDefault="006C4239" w:rsidP="006C4239">
            <w:pPr>
              <w:pStyle w:val="ListParagraph"/>
              <w:jc w:val="both"/>
            </w:pPr>
          </w:p>
        </w:tc>
        <w:tc>
          <w:tcPr>
            <w:tcW w:w="4267" w:type="dxa"/>
          </w:tcPr>
          <w:p w14:paraId="0328E529" w14:textId="77777777" w:rsidR="006C4239" w:rsidRPr="00D51AE5" w:rsidRDefault="006C4239" w:rsidP="006C4239">
            <w:pPr>
              <w:pStyle w:val="ListParagraph"/>
              <w:jc w:val="both"/>
            </w:pPr>
          </w:p>
        </w:tc>
      </w:tr>
      <w:tr w:rsidR="006C4239" w:rsidRPr="00D51AE5" w14:paraId="4E294F72" w14:textId="68D268CF" w:rsidTr="007639A7">
        <w:tc>
          <w:tcPr>
            <w:tcW w:w="6044" w:type="dxa"/>
          </w:tcPr>
          <w:p w14:paraId="3080898A" w14:textId="77777777" w:rsidR="006C4239" w:rsidRPr="00D51AE5" w:rsidRDefault="006C4239" w:rsidP="006C4239">
            <w:pPr>
              <w:pStyle w:val="ListParagraph"/>
              <w:numPr>
                <w:ilvl w:val="1"/>
                <w:numId w:val="5"/>
              </w:numPr>
              <w:jc w:val="both"/>
            </w:pPr>
            <w:r w:rsidRPr="00D51AE5">
              <w:t>In case the HSC Applicant is a joint venture or a consortium, the partners of the joint venture or members of the consortium shall organize themselves as a corporation under the RA No. 11232, otherwise known as the “Revised Corporation Code of the Philippines,” or secure the appropriate license from the Securities and Exchange Commission, in case the joint venture or consortium was incorporated outside of the Philippines; Provided, that the incorporated joint venture or consortium which applies for an HSC that involves activities reserved to Filipino citizens or corporations or associations at least sixty percent (60%) of whose capital is owned by Filipinos shall comply with the nationality requirements as provided for in the preceding paragraph, and Commonwealth Act No. 108, or the “Anti-Dummy Law,” on the appointment of officers of the corporation.</w:t>
            </w:r>
          </w:p>
        </w:tc>
        <w:tc>
          <w:tcPr>
            <w:tcW w:w="3590" w:type="dxa"/>
          </w:tcPr>
          <w:p w14:paraId="12ECC842" w14:textId="77777777" w:rsidR="006C4239" w:rsidRPr="00D51AE5" w:rsidRDefault="006C4239" w:rsidP="006C4239">
            <w:pPr>
              <w:pStyle w:val="ListParagraph"/>
              <w:jc w:val="both"/>
            </w:pPr>
          </w:p>
        </w:tc>
        <w:tc>
          <w:tcPr>
            <w:tcW w:w="4267" w:type="dxa"/>
          </w:tcPr>
          <w:p w14:paraId="6B0BBC9E" w14:textId="77777777" w:rsidR="006C4239" w:rsidRPr="006C4239" w:rsidRDefault="006C4239" w:rsidP="006C4239">
            <w:pPr>
              <w:jc w:val="both"/>
            </w:pPr>
          </w:p>
        </w:tc>
      </w:tr>
      <w:tr w:rsidR="006C4239" w:rsidRPr="00D51AE5" w14:paraId="5C601829" w14:textId="5BE006E4" w:rsidTr="007639A7">
        <w:tc>
          <w:tcPr>
            <w:tcW w:w="6044" w:type="dxa"/>
          </w:tcPr>
          <w:p w14:paraId="2B2F9B28" w14:textId="4214AC0C" w:rsidR="006C4239" w:rsidRPr="00D51AE5" w:rsidRDefault="006C4239" w:rsidP="006C4239">
            <w:pPr>
              <w:contextualSpacing/>
              <w:jc w:val="both"/>
              <w:rPr>
                <w:rFonts w:ascii="Arial" w:hAnsi="Arial" w:cs="Arial"/>
                <w:iCs/>
              </w:rPr>
            </w:pPr>
            <w:r w:rsidRPr="00D51AE5">
              <w:rPr>
                <w:rFonts w:ascii="Arial" w:hAnsi="Arial" w:cs="Arial"/>
                <w:b/>
                <w:bCs/>
                <w:iCs/>
              </w:rPr>
              <w:t>Section 2. Modes of Awarding Hydropower Service Contract.</w:t>
            </w:r>
            <w:r w:rsidRPr="00D51AE5">
              <w:rPr>
                <w:rFonts w:ascii="Arial" w:hAnsi="Arial" w:cs="Arial"/>
                <w:iCs/>
              </w:rPr>
              <w:t xml:space="preserve"> HSC shall be awarded through (</w:t>
            </w:r>
            <w:r w:rsidR="00E669EF">
              <w:rPr>
                <w:rFonts w:ascii="Arial" w:hAnsi="Arial" w:cs="Arial"/>
                <w:iCs/>
              </w:rPr>
              <w:t>a</w:t>
            </w:r>
            <w:r w:rsidRPr="00D51AE5">
              <w:rPr>
                <w:rFonts w:ascii="Arial" w:hAnsi="Arial" w:cs="Arial"/>
                <w:iCs/>
              </w:rPr>
              <w:t>) an Open and Competitive Selection Process (OCSP) or (</w:t>
            </w:r>
            <w:r w:rsidR="00E669EF">
              <w:rPr>
                <w:rFonts w:ascii="Arial" w:hAnsi="Arial" w:cs="Arial"/>
                <w:iCs/>
              </w:rPr>
              <w:t>b</w:t>
            </w:r>
            <w:r w:rsidRPr="00D51AE5">
              <w:rPr>
                <w:rFonts w:ascii="Arial" w:hAnsi="Arial" w:cs="Arial"/>
                <w:iCs/>
              </w:rPr>
              <w:t>) Direct Application.</w:t>
            </w:r>
          </w:p>
        </w:tc>
        <w:tc>
          <w:tcPr>
            <w:tcW w:w="3590" w:type="dxa"/>
          </w:tcPr>
          <w:p w14:paraId="59ED1689" w14:textId="77777777" w:rsidR="006C4239" w:rsidRPr="00D51AE5" w:rsidRDefault="006C4239" w:rsidP="006C4239">
            <w:pPr>
              <w:contextualSpacing/>
              <w:jc w:val="both"/>
              <w:rPr>
                <w:rFonts w:ascii="Arial" w:hAnsi="Arial" w:cs="Arial"/>
                <w:b/>
                <w:bCs/>
                <w:iCs/>
              </w:rPr>
            </w:pPr>
          </w:p>
        </w:tc>
        <w:tc>
          <w:tcPr>
            <w:tcW w:w="4267" w:type="dxa"/>
          </w:tcPr>
          <w:p w14:paraId="3C7547CC" w14:textId="77777777" w:rsidR="006C4239" w:rsidRPr="00D51AE5" w:rsidRDefault="006C4239" w:rsidP="006C4239">
            <w:pPr>
              <w:contextualSpacing/>
              <w:jc w:val="both"/>
              <w:rPr>
                <w:rFonts w:ascii="Arial" w:hAnsi="Arial" w:cs="Arial"/>
                <w:b/>
                <w:bCs/>
                <w:iCs/>
              </w:rPr>
            </w:pPr>
          </w:p>
        </w:tc>
      </w:tr>
      <w:tr w:rsidR="006C4239" w:rsidRPr="00D51AE5" w14:paraId="062B65EB" w14:textId="470B1DE1" w:rsidTr="007639A7">
        <w:tc>
          <w:tcPr>
            <w:tcW w:w="6044" w:type="dxa"/>
          </w:tcPr>
          <w:p w14:paraId="0850286C" w14:textId="77777777" w:rsidR="006C4239" w:rsidRPr="00D51AE5" w:rsidRDefault="006C4239" w:rsidP="006C4239">
            <w:pPr>
              <w:pStyle w:val="ListParagraph"/>
              <w:widowControl w:val="0"/>
              <w:numPr>
                <w:ilvl w:val="1"/>
                <w:numId w:val="6"/>
              </w:numPr>
              <w:tabs>
                <w:tab w:val="left" w:pos="821"/>
                <w:tab w:val="left" w:pos="1935"/>
              </w:tabs>
              <w:autoSpaceDE w:val="0"/>
              <w:autoSpaceDN w:val="0"/>
              <w:jc w:val="both"/>
            </w:pPr>
            <w:r w:rsidRPr="00D51AE5">
              <w:t xml:space="preserve">The OCSP shall be adopted for the selection and award of HSCs for Pre-Determined Areas </w:t>
            </w:r>
            <w:r w:rsidRPr="00D51AE5">
              <w:lastRenderedPageBreak/>
              <w:t>(PDAs) covering hydropower resources for commercial purposes. This shall be governed by Sections 3 and 4 of this Chapter.</w:t>
            </w:r>
          </w:p>
        </w:tc>
        <w:tc>
          <w:tcPr>
            <w:tcW w:w="3590" w:type="dxa"/>
          </w:tcPr>
          <w:p w14:paraId="4B2C3CFB" w14:textId="77777777" w:rsidR="006C4239" w:rsidRPr="00D51AE5" w:rsidRDefault="006C4239" w:rsidP="006C4239">
            <w:pPr>
              <w:pStyle w:val="ListParagraph"/>
              <w:widowControl w:val="0"/>
              <w:tabs>
                <w:tab w:val="left" w:pos="821"/>
                <w:tab w:val="left" w:pos="1935"/>
              </w:tabs>
              <w:autoSpaceDE w:val="0"/>
              <w:autoSpaceDN w:val="0"/>
              <w:jc w:val="both"/>
            </w:pPr>
          </w:p>
        </w:tc>
        <w:tc>
          <w:tcPr>
            <w:tcW w:w="4267" w:type="dxa"/>
          </w:tcPr>
          <w:p w14:paraId="108612CA" w14:textId="77777777" w:rsidR="006C4239" w:rsidRPr="00D51AE5" w:rsidRDefault="006C4239" w:rsidP="006C4239">
            <w:pPr>
              <w:pStyle w:val="ListParagraph"/>
              <w:widowControl w:val="0"/>
              <w:tabs>
                <w:tab w:val="left" w:pos="821"/>
                <w:tab w:val="left" w:pos="1935"/>
              </w:tabs>
              <w:autoSpaceDE w:val="0"/>
              <w:autoSpaceDN w:val="0"/>
              <w:jc w:val="both"/>
            </w:pPr>
          </w:p>
        </w:tc>
      </w:tr>
      <w:tr w:rsidR="006C4239" w:rsidRPr="00D51AE5" w14:paraId="3B3FCFAB" w14:textId="67D6C992" w:rsidTr="007639A7">
        <w:tc>
          <w:tcPr>
            <w:tcW w:w="6044" w:type="dxa"/>
          </w:tcPr>
          <w:p w14:paraId="0952742E" w14:textId="77777777" w:rsidR="006C4239" w:rsidRPr="00D51AE5" w:rsidRDefault="006C4239" w:rsidP="006C4239">
            <w:pPr>
              <w:pStyle w:val="ListParagraph"/>
              <w:widowControl w:val="0"/>
              <w:numPr>
                <w:ilvl w:val="1"/>
                <w:numId w:val="6"/>
              </w:numPr>
              <w:tabs>
                <w:tab w:val="left" w:pos="821"/>
                <w:tab w:val="left" w:pos="1935"/>
              </w:tabs>
              <w:autoSpaceDE w:val="0"/>
              <w:autoSpaceDN w:val="0"/>
              <w:jc w:val="both"/>
            </w:pPr>
            <w:r w:rsidRPr="00D51AE5">
              <w:t>Direct Application shall be available for the selection and award of:</w:t>
            </w:r>
          </w:p>
        </w:tc>
        <w:tc>
          <w:tcPr>
            <w:tcW w:w="3590" w:type="dxa"/>
          </w:tcPr>
          <w:p w14:paraId="595281CB" w14:textId="77777777" w:rsidR="006C4239" w:rsidRPr="00D51AE5" w:rsidRDefault="006C4239" w:rsidP="006C4239">
            <w:pPr>
              <w:pStyle w:val="ListParagraph"/>
              <w:widowControl w:val="0"/>
              <w:tabs>
                <w:tab w:val="left" w:pos="821"/>
                <w:tab w:val="left" w:pos="1935"/>
              </w:tabs>
              <w:autoSpaceDE w:val="0"/>
              <w:autoSpaceDN w:val="0"/>
              <w:jc w:val="both"/>
            </w:pPr>
          </w:p>
        </w:tc>
        <w:tc>
          <w:tcPr>
            <w:tcW w:w="4267" w:type="dxa"/>
          </w:tcPr>
          <w:p w14:paraId="35FFE737" w14:textId="77777777" w:rsidR="006C4239" w:rsidRPr="00D51AE5" w:rsidRDefault="006C4239" w:rsidP="006C4239">
            <w:pPr>
              <w:pStyle w:val="ListParagraph"/>
              <w:widowControl w:val="0"/>
              <w:tabs>
                <w:tab w:val="left" w:pos="821"/>
                <w:tab w:val="left" w:pos="1935"/>
              </w:tabs>
              <w:autoSpaceDE w:val="0"/>
              <w:autoSpaceDN w:val="0"/>
              <w:jc w:val="both"/>
            </w:pPr>
          </w:p>
        </w:tc>
      </w:tr>
      <w:tr w:rsidR="00307B9A" w:rsidRPr="00D51AE5" w14:paraId="40224A22" w14:textId="28073D73" w:rsidTr="00A91ED3">
        <w:trPr>
          <w:trHeight w:val="1587"/>
        </w:trPr>
        <w:tc>
          <w:tcPr>
            <w:tcW w:w="6044" w:type="dxa"/>
            <w:vMerge w:val="restart"/>
          </w:tcPr>
          <w:p w14:paraId="30F77859" w14:textId="77777777" w:rsidR="00307B9A" w:rsidRPr="00D51AE5" w:rsidRDefault="00307B9A" w:rsidP="006C4239">
            <w:pPr>
              <w:pStyle w:val="ListParagraph"/>
              <w:numPr>
                <w:ilvl w:val="0"/>
                <w:numId w:val="7"/>
              </w:numPr>
              <w:jc w:val="both"/>
            </w:pPr>
            <w:r w:rsidRPr="00D51AE5">
              <w:t>Hydropower Operating Contract (HOC);</w:t>
            </w:r>
          </w:p>
          <w:p w14:paraId="040EA0A9" w14:textId="77777777" w:rsidR="00307B9A" w:rsidRDefault="00307B9A" w:rsidP="006C4239">
            <w:pPr>
              <w:pStyle w:val="ListParagraph"/>
              <w:numPr>
                <w:ilvl w:val="0"/>
                <w:numId w:val="7"/>
              </w:numPr>
              <w:jc w:val="both"/>
            </w:pPr>
            <w:r w:rsidRPr="00D51AE5">
              <w:t>HSCs covering PDAs, following a failed OCSP pursuant to Section 4.4 and the procedures in Section 4 of this Chapter; and</w:t>
            </w:r>
          </w:p>
          <w:p w14:paraId="1A0EAD7D" w14:textId="40362F1D" w:rsidR="00307B9A" w:rsidRPr="00D51AE5" w:rsidRDefault="00307B9A" w:rsidP="006C4239">
            <w:pPr>
              <w:pStyle w:val="ListParagraph"/>
              <w:numPr>
                <w:ilvl w:val="0"/>
                <w:numId w:val="7"/>
              </w:numPr>
              <w:jc w:val="both"/>
            </w:pPr>
            <w:r w:rsidRPr="00D51AE5">
              <w:t>HSC in an area identified by an HSC Applicant and verified with or confirmed by the DOE-Information Technology and Management Services (ITMS) as available for exploration, development and/or utilization of hydropower resources.</w:t>
            </w:r>
          </w:p>
        </w:tc>
        <w:tc>
          <w:tcPr>
            <w:tcW w:w="3590" w:type="dxa"/>
            <w:vMerge w:val="restart"/>
          </w:tcPr>
          <w:p w14:paraId="50683012" w14:textId="77777777" w:rsidR="00307B9A" w:rsidRPr="006C4239" w:rsidRDefault="00307B9A" w:rsidP="006C4239">
            <w:pPr>
              <w:jc w:val="both"/>
            </w:pPr>
          </w:p>
        </w:tc>
        <w:tc>
          <w:tcPr>
            <w:tcW w:w="4267" w:type="dxa"/>
          </w:tcPr>
          <w:p w14:paraId="38CD291D" w14:textId="77777777" w:rsidR="00307B9A" w:rsidRPr="006C4239" w:rsidRDefault="00307B9A" w:rsidP="006C4239">
            <w:pPr>
              <w:jc w:val="both"/>
            </w:pPr>
          </w:p>
        </w:tc>
      </w:tr>
      <w:tr w:rsidR="00307B9A" w:rsidRPr="00D51AE5" w14:paraId="55168A65" w14:textId="6CB85CB0" w:rsidTr="007639A7">
        <w:tc>
          <w:tcPr>
            <w:tcW w:w="6044" w:type="dxa"/>
            <w:vMerge/>
          </w:tcPr>
          <w:p w14:paraId="53328B4A" w14:textId="63CAD1D6" w:rsidR="00307B9A" w:rsidRPr="00D51AE5" w:rsidRDefault="00307B9A" w:rsidP="006C4239">
            <w:pPr>
              <w:pStyle w:val="ListParagraph"/>
              <w:numPr>
                <w:ilvl w:val="0"/>
                <w:numId w:val="7"/>
              </w:numPr>
              <w:jc w:val="both"/>
            </w:pPr>
          </w:p>
        </w:tc>
        <w:tc>
          <w:tcPr>
            <w:tcW w:w="3590" w:type="dxa"/>
            <w:vMerge/>
          </w:tcPr>
          <w:p w14:paraId="6B0187F9" w14:textId="77777777" w:rsidR="00307B9A" w:rsidRPr="00D51AE5" w:rsidRDefault="00307B9A" w:rsidP="006C4239">
            <w:pPr>
              <w:pStyle w:val="ListParagraph"/>
              <w:ind w:left="1440"/>
              <w:jc w:val="both"/>
            </w:pPr>
          </w:p>
        </w:tc>
        <w:tc>
          <w:tcPr>
            <w:tcW w:w="4267" w:type="dxa"/>
          </w:tcPr>
          <w:p w14:paraId="77C8AE64" w14:textId="77777777" w:rsidR="00307B9A" w:rsidRPr="00D51AE5" w:rsidRDefault="00307B9A" w:rsidP="006C4239">
            <w:pPr>
              <w:pStyle w:val="ListParagraph"/>
              <w:ind w:left="1440"/>
              <w:jc w:val="both"/>
            </w:pPr>
          </w:p>
        </w:tc>
      </w:tr>
      <w:tr w:rsidR="006C4239" w:rsidRPr="00D51AE5" w14:paraId="025E281A" w14:textId="549D7F03" w:rsidTr="007639A7">
        <w:tc>
          <w:tcPr>
            <w:tcW w:w="6044" w:type="dxa"/>
          </w:tcPr>
          <w:p w14:paraId="208DFE36" w14:textId="2D1E9E37" w:rsidR="006C4239" w:rsidRPr="00D51AE5" w:rsidRDefault="006C4239" w:rsidP="006C4239">
            <w:pPr>
              <w:widowControl w:val="0"/>
              <w:tabs>
                <w:tab w:val="left" w:pos="821"/>
                <w:tab w:val="left" w:pos="1935"/>
              </w:tabs>
              <w:autoSpaceDE w:val="0"/>
              <w:autoSpaceDN w:val="0"/>
              <w:jc w:val="both"/>
              <w:rPr>
                <w:rFonts w:ascii="Arial" w:hAnsi="Arial" w:cs="Arial"/>
                <w:b/>
              </w:rPr>
            </w:pPr>
            <w:r w:rsidRPr="00D51AE5">
              <w:rPr>
                <w:rFonts w:ascii="Arial" w:hAnsi="Arial" w:cs="Arial"/>
                <w:b/>
                <w:bCs/>
              </w:rPr>
              <w:t xml:space="preserve">Section </w:t>
            </w:r>
            <w:r w:rsidRPr="00D51AE5">
              <w:rPr>
                <w:rFonts w:ascii="Arial" w:hAnsi="Arial" w:cs="Arial"/>
                <w:b/>
              </w:rPr>
              <w:t>3. Pre-</w:t>
            </w:r>
            <w:r w:rsidRPr="00D51AE5">
              <w:rPr>
                <w:rFonts w:ascii="Arial" w:hAnsi="Arial" w:cs="Arial"/>
                <w:b/>
                <w:bCs/>
              </w:rPr>
              <w:t xml:space="preserve">Determined Areas. </w:t>
            </w:r>
            <w:r w:rsidRPr="00D51AE5">
              <w:rPr>
                <w:rFonts w:ascii="Arial" w:hAnsi="Arial" w:cs="Arial"/>
              </w:rPr>
              <w:t>Interested parties may apply for HSC for PDAs offered by the DOE during a prescribed period (Annex G).</w:t>
            </w:r>
          </w:p>
        </w:tc>
        <w:tc>
          <w:tcPr>
            <w:tcW w:w="3590" w:type="dxa"/>
          </w:tcPr>
          <w:p w14:paraId="6696BB1F" w14:textId="77777777" w:rsidR="006C4239" w:rsidRPr="00D51AE5" w:rsidRDefault="006C4239" w:rsidP="006C4239">
            <w:pPr>
              <w:widowControl w:val="0"/>
              <w:tabs>
                <w:tab w:val="left" w:pos="821"/>
                <w:tab w:val="left" w:pos="1935"/>
              </w:tabs>
              <w:autoSpaceDE w:val="0"/>
              <w:autoSpaceDN w:val="0"/>
              <w:jc w:val="both"/>
              <w:rPr>
                <w:rFonts w:ascii="Arial" w:hAnsi="Arial" w:cs="Arial"/>
                <w:b/>
                <w:bCs/>
              </w:rPr>
            </w:pPr>
          </w:p>
        </w:tc>
        <w:tc>
          <w:tcPr>
            <w:tcW w:w="4267" w:type="dxa"/>
          </w:tcPr>
          <w:p w14:paraId="391E72ED" w14:textId="77777777" w:rsidR="006C4239" w:rsidRPr="00D51AE5" w:rsidRDefault="006C4239" w:rsidP="006C4239">
            <w:pPr>
              <w:widowControl w:val="0"/>
              <w:tabs>
                <w:tab w:val="left" w:pos="821"/>
                <w:tab w:val="left" w:pos="1935"/>
              </w:tabs>
              <w:autoSpaceDE w:val="0"/>
              <w:autoSpaceDN w:val="0"/>
              <w:jc w:val="both"/>
              <w:rPr>
                <w:rFonts w:ascii="Arial" w:hAnsi="Arial" w:cs="Arial"/>
                <w:b/>
                <w:bCs/>
              </w:rPr>
            </w:pPr>
          </w:p>
        </w:tc>
      </w:tr>
      <w:tr w:rsidR="006C4239" w:rsidRPr="00D51AE5" w14:paraId="1BA7AD28" w14:textId="284DE35C" w:rsidTr="007639A7">
        <w:tc>
          <w:tcPr>
            <w:tcW w:w="6044" w:type="dxa"/>
          </w:tcPr>
          <w:p w14:paraId="71350FAF" w14:textId="08A1A2D0" w:rsidR="006C4239" w:rsidRPr="00D51AE5" w:rsidRDefault="006C4239" w:rsidP="006C4239">
            <w:pPr>
              <w:pStyle w:val="ListParagraph"/>
              <w:numPr>
                <w:ilvl w:val="1"/>
                <w:numId w:val="8"/>
              </w:numPr>
              <w:ind w:left="709"/>
              <w:jc w:val="both"/>
            </w:pPr>
            <w:r w:rsidRPr="00D51AE5">
              <w:rPr>
                <w:b/>
              </w:rPr>
              <w:t>Election of PDAs.</w:t>
            </w:r>
            <w:r w:rsidRPr="00D51AE5">
              <w:t xml:space="preserve"> The REMB shall identify and submit a list of PDAs for HSC Application, with the respective location maps and technical descriptions thereof, to the DOE Secretary, through its Supervising Assistant Secretary and Undersecretary, for approval.</w:t>
            </w:r>
          </w:p>
        </w:tc>
        <w:tc>
          <w:tcPr>
            <w:tcW w:w="3590" w:type="dxa"/>
          </w:tcPr>
          <w:p w14:paraId="0834A5F7" w14:textId="77777777" w:rsidR="006C4239" w:rsidRPr="00D51AE5" w:rsidRDefault="006C4239" w:rsidP="00915579">
            <w:pPr>
              <w:pStyle w:val="ListParagraph"/>
              <w:ind w:left="709"/>
              <w:jc w:val="both"/>
              <w:rPr>
                <w:b/>
              </w:rPr>
            </w:pPr>
          </w:p>
        </w:tc>
        <w:tc>
          <w:tcPr>
            <w:tcW w:w="4267" w:type="dxa"/>
          </w:tcPr>
          <w:p w14:paraId="4F1818C3" w14:textId="77777777" w:rsidR="006C4239" w:rsidRPr="00D51AE5" w:rsidRDefault="006C4239" w:rsidP="00915579">
            <w:pPr>
              <w:pStyle w:val="ListParagraph"/>
              <w:ind w:left="709"/>
              <w:jc w:val="both"/>
              <w:rPr>
                <w:b/>
              </w:rPr>
            </w:pPr>
          </w:p>
        </w:tc>
      </w:tr>
      <w:tr w:rsidR="006C4239" w:rsidRPr="00D51AE5" w14:paraId="68112175" w14:textId="464B7F84" w:rsidTr="007639A7">
        <w:tc>
          <w:tcPr>
            <w:tcW w:w="6044" w:type="dxa"/>
          </w:tcPr>
          <w:p w14:paraId="58A90AD3" w14:textId="57262727" w:rsidR="006C4239" w:rsidRPr="00D51AE5" w:rsidRDefault="006C4239" w:rsidP="006C4239">
            <w:pPr>
              <w:pStyle w:val="ListParagraph"/>
              <w:numPr>
                <w:ilvl w:val="1"/>
                <w:numId w:val="8"/>
              </w:numPr>
              <w:ind w:left="709"/>
              <w:jc w:val="both"/>
            </w:pPr>
            <w:r w:rsidRPr="00D51AE5">
              <w:rPr>
                <w:b/>
              </w:rPr>
              <w:lastRenderedPageBreak/>
              <w:t>Launch and Publication.</w:t>
            </w:r>
            <w:r w:rsidRPr="00D51AE5">
              <w:t xml:space="preserve"> PDAs approved by the DOE Secretary shall be scheduled for launch and shall be publicly announced by the DOE for submission of HSC Applications. PDAs for offer shall be published for at least once (1) a week for two (2) consecutive weeks in at least two (2) newspapers of general circulation and shall likewise be posted at the DOE website.</w:t>
            </w:r>
          </w:p>
        </w:tc>
        <w:tc>
          <w:tcPr>
            <w:tcW w:w="3590" w:type="dxa"/>
          </w:tcPr>
          <w:p w14:paraId="7839EB19" w14:textId="77777777" w:rsidR="006C4239" w:rsidRPr="00D51AE5" w:rsidRDefault="006C4239" w:rsidP="00915579">
            <w:pPr>
              <w:pStyle w:val="ListParagraph"/>
              <w:ind w:left="709"/>
              <w:jc w:val="both"/>
              <w:rPr>
                <w:b/>
              </w:rPr>
            </w:pPr>
          </w:p>
        </w:tc>
        <w:tc>
          <w:tcPr>
            <w:tcW w:w="4267" w:type="dxa"/>
          </w:tcPr>
          <w:p w14:paraId="5967BC79" w14:textId="77777777" w:rsidR="006C4239" w:rsidRPr="00D51AE5" w:rsidRDefault="006C4239" w:rsidP="00915579">
            <w:pPr>
              <w:pStyle w:val="ListParagraph"/>
              <w:ind w:left="709"/>
              <w:jc w:val="both"/>
              <w:rPr>
                <w:b/>
              </w:rPr>
            </w:pPr>
          </w:p>
        </w:tc>
      </w:tr>
      <w:tr w:rsidR="006C4239" w:rsidRPr="00D51AE5" w14:paraId="3F279EB3" w14:textId="7BB07F1C" w:rsidTr="007639A7">
        <w:tc>
          <w:tcPr>
            <w:tcW w:w="6044" w:type="dxa"/>
          </w:tcPr>
          <w:p w14:paraId="2BC85312" w14:textId="2ECA7BB9" w:rsidR="006C4239" w:rsidRPr="00D51AE5" w:rsidRDefault="006C4239" w:rsidP="006C4239">
            <w:pPr>
              <w:pStyle w:val="ListParagraph"/>
              <w:numPr>
                <w:ilvl w:val="1"/>
                <w:numId w:val="8"/>
              </w:numPr>
              <w:ind w:left="709"/>
              <w:jc w:val="both"/>
            </w:pPr>
            <w:r w:rsidRPr="00D51AE5">
              <w:rPr>
                <w:b/>
              </w:rPr>
              <w:t>Data Packages and Promotional Activities.</w:t>
            </w:r>
            <w:r w:rsidRPr="00D51AE5">
              <w:t xml:space="preserve"> The REMB shall arrange for the availability of data packages for the approved PDAs that can be purchased by interested parties in support of their applications. The REMB shall conduct promotional activities to promote the</w:t>
            </w:r>
            <w:r w:rsidR="003858C7">
              <w:t xml:space="preserve"> </w:t>
            </w:r>
            <w:r w:rsidRPr="00D51AE5">
              <w:t>OCSP and the corresponding data packages so as to ensure maximum participation and awareness of prospective investors and stakeholders.</w:t>
            </w:r>
          </w:p>
        </w:tc>
        <w:tc>
          <w:tcPr>
            <w:tcW w:w="3590" w:type="dxa"/>
          </w:tcPr>
          <w:p w14:paraId="50DF2150" w14:textId="77777777" w:rsidR="006C4239" w:rsidRPr="00D51AE5" w:rsidRDefault="006C4239" w:rsidP="00915579">
            <w:pPr>
              <w:pStyle w:val="ListParagraph"/>
              <w:ind w:left="709"/>
              <w:jc w:val="both"/>
              <w:rPr>
                <w:b/>
              </w:rPr>
            </w:pPr>
          </w:p>
        </w:tc>
        <w:tc>
          <w:tcPr>
            <w:tcW w:w="4267" w:type="dxa"/>
          </w:tcPr>
          <w:p w14:paraId="3D0952C1" w14:textId="77777777" w:rsidR="006C4239" w:rsidRPr="00D51AE5" w:rsidRDefault="006C4239" w:rsidP="00915579">
            <w:pPr>
              <w:pStyle w:val="ListParagraph"/>
              <w:ind w:left="709"/>
              <w:jc w:val="both"/>
              <w:rPr>
                <w:b/>
              </w:rPr>
            </w:pPr>
          </w:p>
        </w:tc>
      </w:tr>
      <w:tr w:rsidR="006C4239" w:rsidRPr="00D51AE5" w14:paraId="382475EB" w14:textId="09E829FA" w:rsidTr="007639A7">
        <w:tc>
          <w:tcPr>
            <w:tcW w:w="6044" w:type="dxa"/>
          </w:tcPr>
          <w:p w14:paraId="6CC40C9B" w14:textId="7E522902" w:rsidR="006C4239" w:rsidRPr="00D51AE5" w:rsidRDefault="006C4239" w:rsidP="006C4239">
            <w:pPr>
              <w:widowControl w:val="0"/>
              <w:tabs>
                <w:tab w:val="left" w:pos="1410"/>
              </w:tabs>
              <w:autoSpaceDE w:val="0"/>
              <w:autoSpaceDN w:val="0"/>
              <w:jc w:val="both"/>
              <w:rPr>
                <w:rFonts w:ascii="Arial" w:hAnsi="Arial" w:cs="Arial"/>
                <w:b/>
                <w:bCs/>
              </w:rPr>
            </w:pPr>
            <w:r w:rsidRPr="00D51AE5">
              <w:rPr>
                <w:rFonts w:ascii="Arial" w:hAnsi="Arial" w:cs="Arial"/>
                <w:b/>
                <w:bCs/>
              </w:rPr>
              <w:t xml:space="preserve">Section </w:t>
            </w:r>
            <w:r w:rsidRPr="00D51AE5">
              <w:rPr>
                <w:rFonts w:ascii="Arial" w:hAnsi="Arial" w:cs="Arial"/>
                <w:b/>
              </w:rPr>
              <w:t>4.</w:t>
            </w:r>
            <w:r w:rsidRPr="00D51AE5">
              <w:rPr>
                <w:rFonts w:ascii="Arial" w:hAnsi="Arial" w:cs="Arial"/>
                <w:b/>
                <w:bCs/>
              </w:rPr>
              <w:t xml:space="preserve"> Procedure for Awarding Hydropower Service Contract under Open and Competitive Selection Process.</w:t>
            </w:r>
          </w:p>
        </w:tc>
        <w:tc>
          <w:tcPr>
            <w:tcW w:w="3590" w:type="dxa"/>
          </w:tcPr>
          <w:p w14:paraId="0B1447B7" w14:textId="77777777" w:rsidR="006C4239" w:rsidRPr="00D51AE5" w:rsidRDefault="006C4239" w:rsidP="006C4239">
            <w:pPr>
              <w:widowControl w:val="0"/>
              <w:tabs>
                <w:tab w:val="left" w:pos="1410"/>
              </w:tabs>
              <w:autoSpaceDE w:val="0"/>
              <w:autoSpaceDN w:val="0"/>
              <w:jc w:val="both"/>
              <w:rPr>
                <w:rFonts w:ascii="Arial" w:hAnsi="Arial" w:cs="Arial"/>
                <w:b/>
                <w:bCs/>
              </w:rPr>
            </w:pPr>
          </w:p>
        </w:tc>
        <w:tc>
          <w:tcPr>
            <w:tcW w:w="4267" w:type="dxa"/>
          </w:tcPr>
          <w:p w14:paraId="2A9F0AE0" w14:textId="77777777" w:rsidR="006C4239" w:rsidRPr="00D51AE5" w:rsidRDefault="006C4239" w:rsidP="006C4239">
            <w:pPr>
              <w:widowControl w:val="0"/>
              <w:tabs>
                <w:tab w:val="left" w:pos="1410"/>
              </w:tabs>
              <w:autoSpaceDE w:val="0"/>
              <w:autoSpaceDN w:val="0"/>
              <w:jc w:val="both"/>
              <w:rPr>
                <w:rFonts w:ascii="Arial" w:hAnsi="Arial" w:cs="Arial"/>
                <w:b/>
                <w:bCs/>
              </w:rPr>
            </w:pPr>
          </w:p>
        </w:tc>
      </w:tr>
      <w:tr w:rsidR="006C4239" w:rsidRPr="00D51AE5" w14:paraId="66C4824A" w14:textId="58496C1F" w:rsidTr="007639A7">
        <w:tc>
          <w:tcPr>
            <w:tcW w:w="6044" w:type="dxa"/>
          </w:tcPr>
          <w:p w14:paraId="69CC8984" w14:textId="77777777" w:rsidR="006C4239" w:rsidRPr="00D51AE5" w:rsidRDefault="006C4239" w:rsidP="006C4239">
            <w:pPr>
              <w:pStyle w:val="ListParagraph"/>
              <w:numPr>
                <w:ilvl w:val="1"/>
                <w:numId w:val="9"/>
              </w:numPr>
              <w:ind w:left="709"/>
              <w:jc w:val="both"/>
            </w:pPr>
            <w:r w:rsidRPr="00D51AE5">
              <w:rPr>
                <w:b/>
                <w:bCs/>
              </w:rPr>
              <w:t xml:space="preserve">Hydropower Service </w:t>
            </w:r>
            <w:r w:rsidRPr="00D51AE5">
              <w:rPr>
                <w:b/>
              </w:rPr>
              <w:t>Contract Application.</w:t>
            </w:r>
            <w:r w:rsidRPr="00D51AE5">
              <w:t xml:space="preserve"> Applications may be submitted a day after the publication date until the last day of submission which shall be sixty (60) days from the date of first publication in accordance with the following requirements:</w:t>
            </w:r>
          </w:p>
        </w:tc>
        <w:tc>
          <w:tcPr>
            <w:tcW w:w="3590" w:type="dxa"/>
          </w:tcPr>
          <w:p w14:paraId="0AA6586B" w14:textId="77777777" w:rsidR="006C4239" w:rsidRPr="00D51AE5" w:rsidRDefault="006C4239" w:rsidP="00915579">
            <w:pPr>
              <w:pStyle w:val="ListParagraph"/>
              <w:ind w:left="709"/>
              <w:jc w:val="both"/>
              <w:rPr>
                <w:b/>
                <w:bCs/>
              </w:rPr>
            </w:pPr>
          </w:p>
        </w:tc>
        <w:tc>
          <w:tcPr>
            <w:tcW w:w="4267" w:type="dxa"/>
          </w:tcPr>
          <w:p w14:paraId="13C5BCFA" w14:textId="77777777" w:rsidR="006C4239" w:rsidRPr="00D51AE5" w:rsidRDefault="006C4239" w:rsidP="00915579">
            <w:pPr>
              <w:pStyle w:val="ListParagraph"/>
              <w:ind w:left="709"/>
              <w:jc w:val="both"/>
              <w:rPr>
                <w:b/>
                <w:bCs/>
              </w:rPr>
            </w:pPr>
          </w:p>
        </w:tc>
      </w:tr>
      <w:tr w:rsidR="006C4239" w:rsidRPr="00D51AE5" w14:paraId="537CA7D9" w14:textId="096D6F9F" w:rsidTr="007639A7">
        <w:tc>
          <w:tcPr>
            <w:tcW w:w="6044" w:type="dxa"/>
          </w:tcPr>
          <w:p w14:paraId="5248AD38" w14:textId="77777777" w:rsidR="006C4239" w:rsidRDefault="006C4239" w:rsidP="006C4239">
            <w:pPr>
              <w:pStyle w:val="ListParagraph"/>
              <w:numPr>
                <w:ilvl w:val="2"/>
                <w:numId w:val="10"/>
              </w:numPr>
              <w:ind w:left="2127"/>
              <w:jc w:val="both"/>
            </w:pPr>
            <w:r w:rsidRPr="00D51AE5">
              <w:lastRenderedPageBreak/>
              <w:t>The HSC Applicant shall submit to the DOE a Letter of Intent (LOI) following the prescribed format (Annex H) together with the HSC Application in accordance with prescribed Checklist of Requirements (Annex I). The LOI shall be addressed to the REMB Director and shall indicate whether the interested participant will avail of the Certificate of Authority referred to in Sections 6 and 7.1 of this Chapter.</w:t>
            </w:r>
          </w:p>
          <w:p w14:paraId="304898E1" w14:textId="77777777" w:rsidR="00FC0BBC" w:rsidRDefault="00FC0BBC" w:rsidP="00FC0BBC">
            <w:pPr>
              <w:pStyle w:val="ListParagraph"/>
              <w:ind w:left="2127"/>
              <w:jc w:val="both"/>
            </w:pPr>
          </w:p>
          <w:p w14:paraId="4009CFFB" w14:textId="0F1E7088" w:rsidR="00FC0BBC" w:rsidRPr="00FC0BBC" w:rsidRDefault="00FC0BBC" w:rsidP="00FC0BBC">
            <w:pPr>
              <w:jc w:val="both"/>
            </w:pPr>
            <w:r w:rsidRPr="00D51AE5">
              <w:rPr>
                <w:rFonts w:ascii="Arial" w:hAnsi="Arial" w:cs="Arial"/>
              </w:rPr>
              <w:t>Each HSC Application shall cover only on</w:t>
            </w:r>
            <w:r w:rsidR="006115CE">
              <w:rPr>
                <w:rFonts w:ascii="Arial" w:hAnsi="Arial" w:cs="Arial"/>
              </w:rPr>
              <w:t>e</w:t>
            </w:r>
            <w:r w:rsidRPr="00D51AE5">
              <w:rPr>
                <w:rFonts w:ascii="Arial" w:hAnsi="Arial" w:cs="Arial"/>
              </w:rPr>
              <w:t xml:space="preserve"> PDA as published;</w:t>
            </w:r>
          </w:p>
        </w:tc>
        <w:tc>
          <w:tcPr>
            <w:tcW w:w="3590" w:type="dxa"/>
          </w:tcPr>
          <w:p w14:paraId="16EA3670" w14:textId="77777777" w:rsidR="006C4239" w:rsidRPr="00D51AE5" w:rsidRDefault="006C4239" w:rsidP="00915579">
            <w:pPr>
              <w:pStyle w:val="ListParagraph"/>
              <w:ind w:left="2127"/>
              <w:jc w:val="both"/>
            </w:pPr>
          </w:p>
        </w:tc>
        <w:tc>
          <w:tcPr>
            <w:tcW w:w="4267" w:type="dxa"/>
          </w:tcPr>
          <w:p w14:paraId="26D80D57" w14:textId="77777777" w:rsidR="006C4239" w:rsidRDefault="006C4239" w:rsidP="00915579">
            <w:pPr>
              <w:pStyle w:val="ListParagraph"/>
              <w:ind w:left="2127"/>
              <w:jc w:val="both"/>
            </w:pPr>
          </w:p>
          <w:p w14:paraId="465FD0B9" w14:textId="77777777" w:rsidR="00915579" w:rsidRPr="00D51AE5" w:rsidRDefault="00915579" w:rsidP="00915579">
            <w:pPr>
              <w:pStyle w:val="ListParagraph"/>
              <w:ind w:left="2127"/>
              <w:jc w:val="both"/>
            </w:pPr>
          </w:p>
        </w:tc>
      </w:tr>
      <w:tr w:rsidR="006C4239" w:rsidRPr="00D51AE5" w14:paraId="3276BA10" w14:textId="2835FAD0" w:rsidTr="007639A7">
        <w:tc>
          <w:tcPr>
            <w:tcW w:w="6044" w:type="dxa"/>
          </w:tcPr>
          <w:p w14:paraId="23DB6321" w14:textId="77777777" w:rsidR="006C4239" w:rsidRPr="00D51AE5" w:rsidRDefault="006C4239" w:rsidP="006C4239">
            <w:pPr>
              <w:pStyle w:val="ListParagraph"/>
              <w:numPr>
                <w:ilvl w:val="2"/>
                <w:numId w:val="10"/>
              </w:numPr>
              <w:ind w:left="2127"/>
              <w:jc w:val="both"/>
            </w:pPr>
            <w:r w:rsidRPr="00D51AE5">
              <w:t xml:space="preserve">The HSC Application must be in both paper and electronic (flash drive in Portable Data Format) copies, which shall use Times New Roman in 12-point font size and employ single line spacing. Figures and maps shall be printed and submitted in a document that is not smaller than A3 size. For legibility, figures and maps shall be </w:t>
            </w:r>
            <w:r w:rsidRPr="00D51AE5">
              <w:lastRenderedPageBreak/>
              <w:t>submitted at a larger scale (1:10,000) as appendices; and</w:t>
            </w:r>
          </w:p>
        </w:tc>
        <w:tc>
          <w:tcPr>
            <w:tcW w:w="3590" w:type="dxa"/>
          </w:tcPr>
          <w:p w14:paraId="1B4CF934" w14:textId="77777777" w:rsidR="006C4239" w:rsidRPr="00FC0BBC" w:rsidRDefault="006C4239" w:rsidP="00FC0BBC">
            <w:pPr>
              <w:ind w:left="1407"/>
              <w:jc w:val="both"/>
            </w:pPr>
          </w:p>
        </w:tc>
        <w:tc>
          <w:tcPr>
            <w:tcW w:w="4267" w:type="dxa"/>
          </w:tcPr>
          <w:p w14:paraId="39E3B6A9" w14:textId="77777777" w:rsidR="006C4239" w:rsidRPr="00FC0BBC" w:rsidRDefault="006C4239" w:rsidP="00FC0BBC">
            <w:pPr>
              <w:ind w:left="2160"/>
              <w:jc w:val="both"/>
            </w:pPr>
          </w:p>
        </w:tc>
      </w:tr>
      <w:tr w:rsidR="006C4239" w:rsidRPr="00D51AE5" w14:paraId="38AA3B9B" w14:textId="7D23C2A9" w:rsidTr="007639A7">
        <w:tc>
          <w:tcPr>
            <w:tcW w:w="6044" w:type="dxa"/>
          </w:tcPr>
          <w:p w14:paraId="1D900205" w14:textId="77777777" w:rsidR="006C4239" w:rsidRPr="00D51AE5" w:rsidRDefault="006C4239" w:rsidP="006C4239">
            <w:pPr>
              <w:pStyle w:val="ListParagraph"/>
              <w:numPr>
                <w:ilvl w:val="2"/>
                <w:numId w:val="10"/>
              </w:numPr>
              <w:ind w:left="2127"/>
              <w:jc w:val="both"/>
            </w:pPr>
            <w:r w:rsidRPr="00D51AE5">
              <w:t>An application fee shall be paid by each HSC Applicant, along with the submission of HSC Application. All payments may be made in cash, manager/company cheque, payable to “Department of Energy” or by wire/bank transfer. All wire/bank transfers should be net of all applicable bank and financial charges.</w:t>
            </w:r>
          </w:p>
        </w:tc>
        <w:tc>
          <w:tcPr>
            <w:tcW w:w="3590" w:type="dxa"/>
          </w:tcPr>
          <w:p w14:paraId="3399472E" w14:textId="77777777" w:rsidR="006C4239" w:rsidRPr="00D51AE5" w:rsidRDefault="006C4239" w:rsidP="00FC0BBC">
            <w:pPr>
              <w:pStyle w:val="ListParagraph"/>
              <w:ind w:left="2127"/>
              <w:jc w:val="both"/>
            </w:pPr>
          </w:p>
        </w:tc>
        <w:tc>
          <w:tcPr>
            <w:tcW w:w="4267" w:type="dxa"/>
          </w:tcPr>
          <w:p w14:paraId="5FEFB5EB" w14:textId="77777777" w:rsidR="006C4239" w:rsidRPr="00D51AE5" w:rsidRDefault="006C4239" w:rsidP="00FC0BBC">
            <w:pPr>
              <w:pStyle w:val="ListParagraph"/>
              <w:ind w:left="2127"/>
              <w:jc w:val="both"/>
            </w:pPr>
          </w:p>
        </w:tc>
      </w:tr>
      <w:tr w:rsidR="006C4239" w:rsidRPr="00D51AE5" w14:paraId="245D257C" w14:textId="5D95DE9D" w:rsidTr="007639A7">
        <w:tc>
          <w:tcPr>
            <w:tcW w:w="6044" w:type="dxa"/>
          </w:tcPr>
          <w:p w14:paraId="33A38CCB" w14:textId="77777777" w:rsidR="006C4239" w:rsidRPr="00D51AE5" w:rsidRDefault="006C4239" w:rsidP="006C4239">
            <w:pPr>
              <w:pStyle w:val="ListParagraph"/>
              <w:numPr>
                <w:ilvl w:val="1"/>
                <w:numId w:val="10"/>
              </w:numPr>
              <w:ind w:left="851" w:hanging="425"/>
              <w:jc w:val="both"/>
            </w:pPr>
            <w:r w:rsidRPr="00D51AE5">
              <w:rPr>
                <w:b/>
              </w:rPr>
              <w:t xml:space="preserve">Opening and Evaluation of </w:t>
            </w:r>
            <w:r w:rsidRPr="00D51AE5">
              <w:rPr>
                <w:b/>
                <w:bCs/>
              </w:rPr>
              <w:t xml:space="preserve">Hydropower Service Contract </w:t>
            </w:r>
            <w:r w:rsidRPr="00D51AE5">
              <w:rPr>
                <w:b/>
              </w:rPr>
              <w:t>Applications.</w:t>
            </w:r>
            <w:r w:rsidRPr="00D51AE5">
              <w:t xml:space="preserve"> The DOE shall open the applications at exactly 1300H, on the last day of the submission of HSC Applications.</w:t>
            </w:r>
          </w:p>
        </w:tc>
        <w:tc>
          <w:tcPr>
            <w:tcW w:w="3590" w:type="dxa"/>
          </w:tcPr>
          <w:p w14:paraId="33F9CAB2" w14:textId="77777777" w:rsidR="006C4239" w:rsidRPr="00D51AE5" w:rsidRDefault="006C4239" w:rsidP="00FC0BBC">
            <w:pPr>
              <w:pStyle w:val="ListParagraph"/>
              <w:ind w:left="851"/>
              <w:jc w:val="both"/>
              <w:rPr>
                <w:b/>
              </w:rPr>
            </w:pPr>
          </w:p>
        </w:tc>
        <w:tc>
          <w:tcPr>
            <w:tcW w:w="4267" w:type="dxa"/>
          </w:tcPr>
          <w:p w14:paraId="598A05D3" w14:textId="77777777" w:rsidR="006C4239" w:rsidRPr="00D51AE5" w:rsidRDefault="006C4239" w:rsidP="00FC0BBC">
            <w:pPr>
              <w:pStyle w:val="ListParagraph"/>
              <w:ind w:left="851"/>
              <w:jc w:val="both"/>
              <w:rPr>
                <w:b/>
              </w:rPr>
            </w:pPr>
          </w:p>
        </w:tc>
      </w:tr>
      <w:tr w:rsidR="006C4239" w:rsidRPr="00D51AE5" w14:paraId="2F4BD359" w14:textId="7F8668DB" w:rsidTr="007639A7">
        <w:tc>
          <w:tcPr>
            <w:tcW w:w="6044" w:type="dxa"/>
          </w:tcPr>
          <w:p w14:paraId="305E5E13" w14:textId="77777777" w:rsidR="006C4239" w:rsidRPr="00D51AE5" w:rsidRDefault="006C4239" w:rsidP="006C4239">
            <w:pPr>
              <w:pStyle w:val="ListParagraph"/>
              <w:numPr>
                <w:ilvl w:val="1"/>
                <w:numId w:val="10"/>
              </w:numPr>
              <w:ind w:left="851" w:hanging="425"/>
              <w:jc w:val="both"/>
            </w:pPr>
            <w:r w:rsidRPr="00D51AE5">
              <w:rPr>
                <w:b/>
              </w:rPr>
              <w:t>Evaluation, Selection and Award.</w:t>
            </w:r>
            <w:r w:rsidRPr="00D51AE5">
              <w:t xml:space="preserve"> The evaluation and selection of HSC Applications and award of HSC shall be conducted following the criteria and procedures set hereunder:</w:t>
            </w:r>
          </w:p>
        </w:tc>
        <w:tc>
          <w:tcPr>
            <w:tcW w:w="3590" w:type="dxa"/>
          </w:tcPr>
          <w:p w14:paraId="0388A34B" w14:textId="77777777" w:rsidR="006C4239" w:rsidRPr="00D51AE5" w:rsidRDefault="006C4239" w:rsidP="00FC0BBC">
            <w:pPr>
              <w:pStyle w:val="ListParagraph"/>
              <w:ind w:left="851"/>
              <w:jc w:val="both"/>
              <w:rPr>
                <w:b/>
              </w:rPr>
            </w:pPr>
          </w:p>
        </w:tc>
        <w:tc>
          <w:tcPr>
            <w:tcW w:w="4267" w:type="dxa"/>
          </w:tcPr>
          <w:p w14:paraId="62718621" w14:textId="77777777" w:rsidR="006C4239" w:rsidRPr="00D51AE5" w:rsidRDefault="006C4239" w:rsidP="00FC0BBC">
            <w:pPr>
              <w:pStyle w:val="ListParagraph"/>
              <w:ind w:left="851"/>
              <w:jc w:val="both"/>
              <w:rPr>
                <w:b/>
              </w:rPr>
            </w:pPr>
          </w:p>
        </w:tc>
      </w:tr>
      <w:tr w:rsidR="006C4239" w:rsidRPr="00D51AE5" w14:paraId="5F5A37ED" w14:textId="706AE92C" w:rsidTr="007639A7">
        <w:tc>
          <w:tcPr>
            <w:tcW w:w="6044" w:type="dxa"/>
          </w:tcPr>
          <w:p w14:paraId="0AF7CC03" w14:textId="77777777" w:rsidR="006C4239" w:rsidRPr="00D51AE5" w:rsidRDefault="006C4239" w:rsidP="006C4239">
            <w:pPr>
              <w:pStyle w:val="ListParagraph"/>
              <w:numPr>
                <w:ilvl w:val="2"/>
                <w:numId w:val="11"/>
              </w:numPr>
              <w:ind w:left="2127" w:hanging="709"/>
              <w:jc w:val="both"/>
            </w:pPr>
            <w:r w:rsidRPr="00D51AE5">
              <w:t xml:space="preserve">Applications with incomplete documents based on the Checklist of Requirements shall be automatically disqualified during the opening of HSC Applications. No additional documents shall be </w:t>
            </w:r>
            <w:r w:rsidRPr="00D51AE5">
              <w:lastRenderedPageBreak/>
              <w:t>accepted after the deadline for submission of HSC Applications.</w:t>
            </w:r>
          </w:p>
        </w:tc>
        <w:tc>
          <w:tcPr>
            <w:tcW w:w="3590" w:type="dxa"/>
          </w:tcPr>
          <w:p w14:paraId="7550FADB" w14:textId="77777777" w:rsidR="006C4239" w:rsidRPr="00D51AE5" w:rsidRDefault="006C4239" w:rsidP="00FC0BBC">
            <w:pPr>
              <w:pStyle w:val="ListParagraph"/>
              <w:ind w:left="2127"/>
              <w:jc w:val="both"/>
            </w:pPr>
          </w:p>
        </w:tc>
        <w:tc>
          <w:tcPr>
            <w:tcW w:w="4267" w:type="dxa"/>
          </w:tcPr>
          <w:p w14:paraId="5080316C" w14:textId="77777777" w:rsidR="006C4239" w:rsidRPr="00D51AE5" w:rsidRDefault="006C4239" w:rsidP="00FC0BBC">
            <w:pPr>
              <w:pStyle w:val="ListParagraph"/>
              <w:ind w:left="2127"/>
              <w:jc w:val="both"/>
            </w:pPr>
          </w:p>
        </w:tc>
      </w:tr>
      <w:tr w:rsidR="006C4239" w:rsidRPr="00D51AE5" w14:paraId="4F3587AE" w14:textId="3CE375E0" w:rsidTr="007639A7">
        <w:tc>
          <w:tcPr>
            <w:tcW w:w="6044" w:type="dxa"/>
          </w:tcPr>
          <w:p w14:paraId="0C2053A5" w14:textId="77777777" w:rsidR="006C4239" w:rsidRPr="00D51AE5" w:rsidRDefault="006C4239" w:rsidP="006C4239">
            <w:pPr>
              <w:pStyle w:val="ListParagraph"/>
              <w:numPr>
                <w:ilvl w:val="2"/>
                <w:numId w:val="11"/>
              </w:numPr>
              <w:ind w:left="2127" w:hanging="709"/>
              <w:jc w:val="both"/>
            </w:pPr>
            <w:r w:rsidRPr="00D51AE5">
              <w:t>HSC Applicants shall be duly informed by the Review Committee (REC) Chairperson whether their application passed the completeness check and shall be subjected to further legal, technical, and financial evaluations. Applicants who were disqualified for submitting incomplete documents shall likewise be informed by the REC Chairperson of the fact of their disqualification and the reasons therefor.</w:t>
            </w:r>
          </w:p>
        </w:tc>
        <w:tc>
          <w:tcPr>
            <w:tcW w:w="3590" w:type="dxa"/>
          </w:tcPr>
          <w:p w14:paraId="5C33202B" w14:textId="77777777" w:rsidR="006C4239" w:rsidRPr="00D51AE5" w:rsidRDefault="006C4239" w:rsidP="00FC0BBC">
            <w:pPr>
              <w:pStyle w:val="ListParagraph"/>
              <w:ind w:left="2127"/>
              <w:jc w:val="both"/>
            </w:pPr>
          </w:p>
        </w:tc>
        <w:tc>
          <w:tcPr>
            <w:tcW w:w="4267" w:type="dxa"/>
          </w:tcPr>
          <w:p w14:paraId="7D2DEAF0" w14:textId="77777777" w:rsidR="006C4239" w:rsidRPr="00D51AE5" w:rsidRDefault="006C4239" w:rsidP="00FC0BBC">
            <w:pPr>
              <w:pStyle w:val="ListParagraph"/>
              <w:ind w:left="2127"/>
              <w:jc w:val="both"/>
            </w:pPr>
          </w:p>
        </w:tc>
      </w:tr>
      <w:tr w:rsidR="006C4239" w:rsidRPr="00D51AE5" w14:paraId="3DDA8253" w14:textId="01754E23" w:rsidTr="007639A7">
        <w:tc>
          <w:tcPr>
            <w:tcW w:w="6044" w:type="dxa"/>
          </w:tcPr>
          <w:tbl>
            <w:tblPr>
              <w:tblpPr w:leftFromText="180" w:rightFromText="180" w:vertAnchor="text" w:horzAnchor="margin" w:tblpY="140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56"/>
              <w:gridCol w:w="2551"/>
            </w:tblGrid>
            <w:tr w:rsidR="00011CDA" w:rsidRPr="00D51AE5" w14:paraId="5E9A78A3" w14:textId="77777777" w:rsidTr="00011CDA">
              <w:trPr>
                <w:trHeight w:val="273"/>
              </w:trPr>
              <w:tc>
                <w:tcPr>
                  <w:tcW w:w="3256" w:type="dxa"/>
                </w:tcPr>
                <w:p w14:paraId="1106ED64" w14:textId="77777777" w:rsidR="00011CDA" w:rsidRPr="00D51AE5" w:rsidRDefault="00011CDA" w:rsidP="00011CDA">
                  <w:pPr>
                    <w:pStyle w:val="TableParagraph"/>
                    <w:spacing w:line="240" w:lineRule="auto"/>
                    <w:contextualSpacing/>
                    <w:jc w:val="both"/>
                    <w:rPr>
                      <w:sz w:val="24"/>
                      <w:szCs w:val="24"/>
                    </w:rPr>
                  </w:pPr>
                  <w:r w:rsidRPr="00D51AE5">
                    <w:rPr>
                      <w:sz w:val="24"/>
                      <w:szCs w:val="24"/>
                    </w:rPr>
                    <w:t>Legal</w:t>
                  </w:r>
                  <w:r w:rsidRPr="00D51AE5">
                    <w:rPr>
                      <w:spacing w:val="-7"/>
                      <w:sz w:val="24"/>
                      <w:szCs w:val="24"/>
                    </w:rPr>
                    <w:t xml:space="preserve"> </w:t>
                  </w:r>
                  <w:r w:rsidRPr="00D51AE5">
                    <w:rPr>
                      <w:spacing w:val="-2"/>
                      <w:sz w:val="24"/>
                      <w:szCs w:val="24"/>
                    </w:rPr>
                    <w:t>Qualification</w:t>
                  </w:r>
                </w:p>
              </w:tc>
              <w:tc>
                <w:tcPr>
                  <w:tcW w:w="2551" w:type="dxa"/>
                </w:tcPr>
                <w:p w14:paraId="51CDC8BA" w14:textId="77777777" w:rsidR="00011CDA" w:rsidRPr="00D51AE5" w:rsidRDefault="00011CDA" w:rsidP="00011CDA">
                  <w:pPr>
                    <w:pStyle w:val="TableParagraph"/>
                    <w:spacing w:line="240" w:lineRule="auto"/>
                    <w:ind w:left="663" w:right="659"/>
                    <w:contextualSpacing/>
                    <w:jc w:val="both"/>
                    <w:rPr>
                      <w:sz w:val="24"/>
                      <w:szCs w:val="24"/>
                    </w:rPr>
                  </w:pPr>
                  <w:r w:rsidRPr="00D51AE5">
                    <w:rPr>
                      <w:spacing w:val="-2"/>
                      <w:sz w:val="24"/>
                      <w:szCs w:val="24"/>
                    </w:rPr>
                    <w:t>Pass/Fail</w:t>
                  </w:r>
                </w:p>
              </w:tc>
            </w:tr>
            <w:tr w:rsidR="00011CDA" w:rsidRPr="00D51AE5" w14:paraId="7F3F4981" w14:textId="77777777" w:rsidTr="00011CDA">
              <w:trPr>
                <w:trHeight w:val="277"/>
              </w:trPr>
              <w:tc>
                <w:tcPr>
                  <w:tcW w:w="3256" w:type="dxa"/>
                </w:tcPr>
                <w:p w14:paraId="6712E2B9" w14:textId="77777777" w:rsidR="00011CDA" w:rsidRPr="00D51AE5" w:rsidRDefault="00011CDA" w:rsidP="00011CDA">
                  <w:pPr>
                    <w:pStyle w:val="TableParagraph"/>
                    <w:spacing w:line="240" w:lineRule="auto"/>
                    <w:contextualSpacing/>
                    <w:jc w:val="both"/>
                    <w:rPr>
                      <w:sz w:val="24"/>
                      <w:szCs w:val="24"/>
                    </w:rPr>
                  </w:pPr>
                  <w:r w:rsidRPr="00D51AE5">
                    <w:rPr>
                      <w:sz w:val="24"/>
                      <w:szCs w:val="24"/>
                    </w:rPr>
                    <w:t>Work</w:t>
                  </w:r>
                  <w:r w:rsidRPr="00D51AE5">
                    <w:rPr>
                      <w:spacing w:val="1"/>
                      <w:sz w:val="24"/>
                      <w:szCs w:val="24"/>
                    </w:rPr>
                    <w:t xml:space="preserve"> </w:t>
                  </w:r>
                  <w:r w:rsidRPr="00D51AE5">
                    <w:rPr>
                      <w:spacing w:val="-2"/>
                      <w:sz w:val="24"/>
                      <w:szCs w:val="24"/>
                    </w:rPr>
                    <w:t>Program</w:t>
                  </w:r>
                </w:p>
              </w:tc>
              <w:tc>
                <w:tcPr>
                  <w:tcW w:w="2551" w:type="dxa"/>
                </w:tcPr>
                <w:p w14:paraId="5A90C76B" w14:textId="77777777" w:rsidR="00011CDA" w:rsidRPr="00D51AE5" w:rsidRDefault="00011CDA" w:rsidP="00011CDA">
                  <w:pPr>
                    <w:pStyle w:val="TableParagraph"/>
                    <w:spacing w:line="240" w:lineRule="auto"/>
                    <w:ind w:left="659" w:right="659"/>
                    <w:contextualSpacing/>
                    <w:jc w:val="both"/>
                    <w:rPr>
                      <w:sz w:val="24"/>
                      <w:szCs w:val="24"/>
                    </w:rPr>
                  </w:pPr>
                  <w:r w:rsidRPr="00D51AE5">
                    <w:rPr>
                      <w:spacing w:val="-5"/>
                      <w:sz w:val="24"/>
                      <w:szCs w:val="24"/>
                    </w:rPr>
                    <w:t>40%</w:t>
                  </w:r>
                </w:p>
              </w:tc>
            </w:tr>
            <w:tr w:rsidR="00011CDA" w:rsidRPr="00D51AE5" w14:paraId="2ABC6B41" w14:textId="77777777" w:rsidTr="00011CDA">
              <w:trPr>
                <w:trHeight w:val="274"/>
              </w:trPr>
              <w:tc>
                <w:tcPr>
                  <w:tcW w:w="3256" w:type="dxa"/>
                </w:tcPr>
                <w:p w14:paraId="39F3E0CF" w14:textId="77777777" w:rsidR="00011CDA" w:rsidRPr="00D51AE5" w:rsidRDefault="00011CDA" w:rsidP="00011CDA">
                  <w:pPr>
                    <w:pStyle w:val="TableParagraph"/>
                    <w:spacing w:line="240" w:lineRule="auto"/>
                    <w:contextualSpacing/>
                    <w:jc w:val="both"/>
                    <w:rPr>
                      <w:sz w:val="24"/>
                      <w:szCs w:val="24"/>
                    </w:rPr>
                  </w:pPr>
                  <w:r w:rsidRPr="00D51AE5">
                    <w:rPr>
                      <w:sz w:val="24"/>
                      <w:szCs w:val="24"/>
                    </w:rPr>
                    <w:t>Technical</w:t>
                  </w:r>
                  <w:r w:rsidRPr="00D51AE5">
                    <w:rPr>
                      <w:spacing w:val="-6"/>
                      <w:sz w:val="24"/>
                      <w:szCs w:val="24"/>
                    </w:rPr>
                    <w:t xml:space="preserve"> </w:t>
                  </w:r>
                  <w:r w:rsidRPr="00D51AE5">
                    <w:rPr>
                      <w:spacing w:val="-2"/>
                      <w:sz w:val="24"/>
                      <w:szCs w:val="24"/>
                    </w:rPr>
                    <w:t>Qualification</w:t>
                  </w:r>
                </w:p>
              </w:tc>
              <w:tc>
                <w:tcPr>
                  <w:tcW w:w="2551" w:type="dxa"/>
                </w:tcPr>
                <w:p w14:paraId="5C044448" w14:textId="77777777" w:rsidR="00011CDA" w:rsidRPr="00D51AE5" w:rsidRDefault="00011CDA" w:rsidP="00011CDA">
                  <w:pPr>
                    <w:pStyle w:val="TableParagraph"/>
                    <w:spacing w:line="240" w:lineRule="auto"/>
                    <w:ind w:left="659" w:right="659"/>
                    <w:contextualSpacing/>
                    <w:jc w:val="both"/>
                    <w:rPr>
                      <w:sz w:val="24"/>
                      <w:szCs w:val="24"/>
                    </w:rPr>
                  </w:pPr>
                  <w:r w:rsidRPr="00D51AE5">
                    <w:rPr>
                      <w:spacing w:val="-5"/>
                      <w:sz w:val="24"/>
                      <w:szCs w:val="24"/>
                    </w:rPr>
                    <w:t>20%</w:t>
                  </w:r>
                </w:p>
              </w:tc>
            </w:tr>
            <w:tr w:rsidR="00011CDA" w:rsidRPr="00D51AE5" w14:paraId="1B63AFB2" w14:textId="77777777" w:rsidTr="00011CDA">
              <w:trPr>
                <w:trHeight w:val="274"/>
              </w:trPr>
              <w:tc>
                <w:tcPr>
                  <w:tcW w:w="3256" w:type="dxa"/>
                </w:tcPr>
                <w:p w14:paraId="196B6213" w14:textId="77777777" w:rsidR="00011CDA" w:rsidRPr="00D51AE5" w:rsidRDefault="00011CDA" w:rsidP="00011CDA">
                  <w:pPr>
                    <w:pStyle w:val="TableParagraph"/>
                    <w:spacing w:line="240" w:lineRule="auto"/>
                    <w:contextualSpacing/>
                    <w:jc w:val="both"/>
                    <w:rPr>
                      <w:sz w:val="24"/>
                      <w:szCs w:val="24"/>
                    </w:rPr>
                  </w:pPr>
                  <w:r w:rsidRPr="00D51AE5">
                    <w:rPr>
                      <w:sz w:val="24"/>
                      <w:szCs w:val="24"/>
                    </w:rPr>
                    <w:t>Financial</w:t>
                  </w:r>
                  <w:r w:rsidRPr="00D51AE5">
                    <w:rPr>
                      <w:spacing w:val="-8"/>
                      <w:sz w:val="24"/>
                      <w:szCs w:val="24"/>
                    </w:rPr>
                    <w:t xml:space="preserve"> </w:t>
                  </w:r>
                  <w:r w:rsidRPr="00D51AE5">
                    <w:rPr>
                      <w:spacing w:val="-2"/>
                      <w:sz w:val="24"/>
                      <w:szCs w:val="24"/>
                    </w:rPr>
                    <w:t>Qualification</w:t>
                  </w:r>
                </w:p>
              </w:tc>
              <w:tc>
                <w:tcPr>
                  <w:tcW w:w="2551" w:type="dxa"/>
                </w:tcPr>
                <w:p w14:paraId="479E34FD" w14:textId="77777777" w:rsidR="00011CDA" w:rsidRPr="00D51AE5" w:rsidRDefault="00011CDA" w:rsidP="00011CDA">
                  <w:pPr>
                    <w:pStyle w:val="TableParagraph"/>
                    <w:spacing w:line="240" w:lineRule="auto"/>
                    <w:ind w:left="659" w:right="659"/>
                    <w:contextualSpacing/>
                    <w:jc w:val="both"/>
                    <w:rPr>
                      <w:sz w:val="24"/>
                      <w:szCs w:val="24"/>
                    </w:rPr>
                  </w:pPr>
                  <w:r w:rsidRPr="00D51AE5">
                    <w:rPr>
                      <w:spacing w:val="-5"/>
                      <w:sz w:val="24"/>
                      <w:szCs w:val="24"/>
                    </w:rPr>
                    <w:t>40%</w:t>
                  </w:r>
                </w:p>
              </w:tc>
            </w:tr>
          </w:tbl>
          <w:p w14:paraId="4478577A" w14:textId="77777777" w:rsidR="006C4239" w:rsidRDefault="006C4239" w:rsidP="006C4239">
            <w:pPr>
              <w:pStyle w:val="ListParagraph"/>
              <w:numPr>
                <w:ilvl w:val="2"/>
                <w:numId w:val="11"/>
              </w:numPr>
              <w:ind w:left="2127" w:hanging="709"/>
              <w:jc w:val="both"/>
            </w:pPr>
            <w:r w:rsidRPr="00D51AE5">
              <w:t>HSC Applications which passed the completeness check shall be evaluated based on the following criteria:</w:t>
            </w:r>
          </w:p>
          <w:p w14:paraId="4AEC5D48" w14:textId="77777777" w:rsidR="00011CDA" w:rsidRDefault="00011CDA" w:rsidP="00011CDA">
            <w:pPr>
              <w:jc w:val="both"/>
              <w:rPr>
                <w:rFonts w:ascii="Arial" w:hAnsi="Arial" w:cs="Arial"/>
              </w:rPr>
            </w:pPr>
          </w:p>
          <w:p w14:paraId="65B07738" w14:textId="510C8372" w:rsidR="00FC0BBC" w:rsidRPr="00011CDA" w:rsidRDefault="00011CDA" w:rsidP="00011CDA">
            <w:pPr>
              <w:jc w:val="both"/>
            </w:pPr>
            <w:r w:rsidRPr="00D51AE5">
              <w:rPr>
                <w:rFonts w:ascii="Arial" w:hAnsi="Arial" w:cs="Arial"/>
              </w:rPr>
              <w:t xml:space="preserve">The guidelines and procedures, including the qualification criteria per scoring item, of every OCSP </w:t>
            </w:r>
            <w:r w:rsidRPr="00D51AE5">
              <w:rPr>
                <w:rFonts w:ascii="Arial" w:hAnsi="Arial" w:cs="Arial"/>
              </w:rPr>
              <w:lastRenderedPageBreak/>
              <w:t>shall be determined at the beginning of every OCSP round and will be covered by a Department Circular.</w:t>
            </w:r>
          </w:p>
        </w:tc>
        <w:tc>
          <w:tcPr>
            <w:tcW w:w="3590" w:type="dxa"/>
          </w:tcPr>
          <w:p w14:paraId="3AA2A1F0" w14:textId="77777777" w:rsidR="006C4239" w:rsidRPr="00D51AE5" w:rsidRDefault="006C4239" w:rsidP="00FC0BBC">
            <w:pPr>
              <w:pStyle w:val="ListParagraph"/>
              <w:ind w:left="2127"/>
              <w:jc w:val="both"/>
            </w:pPr>
          </w:p>
        </w:tc>
        <w:tc>
          <w:tcPr>
            <w:tcW w:w="4267" w:type="dxa"/>
          </w:tcPr>
          <w:p w14:paraId="0C43389C" w14:textId="77777777" w:rsidR="006C4239" w:rsidRPr="00D51AE5" w:rsidRDefault="006C4239" w:rsidP="00FC0BBC">
            <w:pPr>
              <w:pStyle w:val="ListParagraph"/>
              <w:ind w:left="2127"/>
              <w:jc w:val="both"/>
            </w:pPr>
          </w:p>
        </w:tc>
      </w:tr>
      <w:tr w:rsidR="006C4239" w:rsidRPr="00D51AE5" w14:paraId="15911106" w14:textId="070681FA" w:rsidTr="007639A7">
        <w:tc>
          <w:tcPr>
            <w:tcW w:w="6044" w:type="dxa"/>
          </w:tcPr>
          <w:p w14:paraId="5FAD4731" w14:textId="77777777" w:rsidR="006C4239" w:rsidRPr="00D51AE5" w:rsidRDefault="006C4239" w:rsidP="006C4239">
            <w:pPr>
              <w:pStyle w:val="ListParagraph"/>
              <w:numPr>
                <w:ilvl w:val="2"/>
                <w:numId w:val="11"/>
              </w:numPr>
              <w:ind w:left="2127" w:hanging="567"/>
              <w:jc w:val="both"/>
            </w:pPr>
            <w:r w:rsidRPr="00D51AE5">
              <w:t>The highest ranked HSC Application that meets the legal, technical, and financial requirements shall be selected.</w:t>
            </w:r>
          </w:p>
        </w:tc>
        <w:tc>
          <w:tcPr>
            <w:tcW w:w="3590" w:type="dxa"/>
          </w:tcPr>
          <w:p w14:paraId="647CCB2C" w14:textId="77777777" w:rsidR="006C4239" w:rsidRPr="00D51AE5" w:rsidRDefault="006C4239" w:rsidP="00011CDA">
            <w:pPr>
              <w:pStyle w:val="ListParagraph"/>
              <w:ind w:left="2127"/>
              <w:jc w:val="both"/>
            </w:pPr>
          </w:p>
        </w:tc>
        <w:tc>
          <w:tcPr>
            <w:tcW w:w="4267" w:type="dxa"/>
          </w:tcPr>
          <w:p w14:paraId="1FB50906" w14:textId="77777777" w:rsidR="006C4239" w:rsidRPr="00D51AE5" w:rsidRDefault="006C4239" w:rsidP="00011CDA">
            <w:pPr>
              <w:pStyle w:val="ListParagraph"/>
              <w:ind w:left="2127"/>
              <w:jc w:val="both"/>
            </w:pPr>
          </w:p>
        </w:tc>
      </w:tr>
      <w:tr w:rsidR="006C4239" w:rsidRPr="00D51AE5" w14:paraId="62C040D3" w14:textId="6172C3DF" w:rsidTr="007639A7">
        <w:tc>
          <w:tcPr>
            <w:tcW w:w="6044" w:type="dxa"/>
          </w:tcPr>
          <w:p w14:paraId="73A38207" w14:textId="77777777" w:rsidR="006C4239" w:rsidRPr="00D51AE5" w:rsidRDefault="006C4239" w:rsidP="006C4239">
            <w:pPr>
              <w:pStyle w:val="ListParagraph"/>
              <w:numPr>
                <w:ilvl w:val="2"/>
                <w:numId w:val="11"/>
              </w:numPr>
              <w:ind w:left="2127" w:hanging="567"/>
              <w:jc w:val="both"/>
            </w:pPr>
            <w:r w:rsidRPr="00D51AE5">
              <w:t>After a complete review and evaluation of the legal, technical and financial qualifications of the HSC Applications, the REC Chairperson, shall transmit to the DOE Secretary a written endorsement of the selected HSC Application.</w:t>
            </w:r>
          </w:p>
        </w:tc>
        <w:tc>
          <w:tcPr>
            <w:tcW w:w="3590" w:type="dxa"/>
          </w:tcPr>
          <w:p w14:paraId="40020CF5" w14:textId="77777777" w:rsidR="006C4239" w:rsidRPr="00D51AE5" w:rsidRDefault="006C4239" w:rsidP="00011CDA">
            <w:pPr>
              <w:pStyle w:val="ListParagraph"/>
              <w:ind w:left="2127"/>
              <w:jc w:val="both"/>
            </w:pPr>
          </w:p>
        </w:tc>
        <w:tc>
          <w:tcPr>
            <w:tcW w:w="4267" w:type="dxa"/>
          </w:tcPr>
          <w:p w14:paraId="0AD12093" w14:textId="77777777" w:rsidR="006C4239" w:rsidRPr="00D51AE5" w:rsidRDefault="006C4239" w:rsidP="00011CDA">
            <w:pPr>
              <w:pStyle w:val="ListParagraph"/>
              <w:ind w:left="2127"/>
              <w:jc w:val="both"/>
            </w:pPr>
          </w:p>
        </w:tc>
      </w:tr>
      <w:tr w:rsidR="006C4239" w:rsidRPr="00D51AE5" w14:paraId="2F82737B" w14:textId="148B4A72" w:rsidTr="007639A7">
        <w:tc>
          <w:tcPr>
            <w:tcW w:w="6044" w:type="dxa"/>
          </w:tcPr>
          <w:p w14:paraId="3A141550" w14:textId="77777777" w:rsidR="006C4239" w:rsidRPr="00D51AE5" w:rsidRDefault="006C4239" w:rsidP="006C4239">
            <w:pPr>
              <w:pStyle w:val="ListParagraph"/>
              <w:numPr>
                <w:ilvl w:val="2"/>
                <w:numId w:val="11"/>
              </w:numPr>
              <w:ind w:left="2127" w:hanging="567"/>
              <w:jc w:val="both"/>
            </w:pPr>
            <w:r w:rsidRPr="00D51AE5">
              <w:t xml:space="preserve">The DOE Secretary shall act </w:t>
            </w:r>
            <w:r w:rsidRPr="00D51AE5">
              <w:rPr>
                <w:rFonts w:eastAsia="Arial"/>
              </w:rPr>
              <w:t>on the HSC Application in accordance with Section 7 of this Chapter after the concurrence of ITMS, Financial Services (FS), REMB and Legal Services (LS) on the endorsement</w:t>
            </w:r>
            <w:r w:rsidRPr="00D51AE5">
              <w:t>.</w:t>
            </w:r>
          </w:p>
        </w:tc>
        <w:tc>
          <w:tcPr>
            <w:tcW w:w="3590" w:type="dxa"/>
          </w:tcPr>
          <w:p w14:paraId="437BACB6" w14:textId="77777777" w:rsidR="006C4239" w:rsidRPr="00D51AE5" w:rsidRDefault="006C4239" w:rsidP="00011CDA">
            <w:pPr>
              <w:pStyle w:val="ListParagraph"/>
              <w:ind w:left="2127"/>
              <w:jc w:val="both"/>
            </w:pPr>
          </w:p>
        </w:tc>
        <w:tc>
          <w:tcPr>
            <w:tcW w:w="4267" w:type="dxa"/>
          </w:tcPr>
          <w:p w14:paraId="3EB3C5CA" w14:textId="77777777" w:rsidR="006C4239" w:rsidRPr="00D51AE5" w:rsidRDefault="006C4239" w:rsidP="00011CDA">
            <w:pPr>
              <w:pStyle w:val="ListParagraph"/>
              <w:ind w:left="2127"/>
              <w:jc w:val="both"/>
            </w:pPr>
          </w:p>
        </w:tc>
      </w:tr>
      <w:tr w:rsidR="006C4239" w:rsidRPr="00D51AE5" w14:paraId="79648084" w14:textId="29650D81" w:rsidTr="007639A7">
        <w:tc>
          <w:tcPr>
            <w:tcW w:w="6044" w:type="dxa"/>
          </w:tcPr>
          <w:p w14:paraId="16348F27" w14:textId="066066E4" w:rsidR="006C4239" w:rsidRPr="00D51AE5" w:rsidRDefault="006C4239" w:rsidP="006C4239">
            <w:pPr>
              <w:pStyle w:val="ListParagraph"/>
              <w:numPr>
                <w:ilvl w:val="1"/>
                <w:numId w:val="11"/>
              </w:numPr>
              <w:tabs>
                <w:tab w:val="left" w:pos="2745"/>
              </w:tabs>
              <w:ind w:left="709" w:hanging="425"/>
              <w:jc w:val="both"/>
            </w:pPr>
            <w:r w:rsidRPr="00D51AE5">
              <w:t>A</w:t>
            </w:r>
            <w:r w:rsidR="00A93B8E">
              <w:t xml:space="preserve">n </w:t>
            </w:r>
            <w:r w:rsidRPr="00D51AE5">
              <w:t>OCSP, with respect to any or all PDAs included therein, as applicable, shall be declared a failure when any of the following circumstances exists:</w:t>
            </w:r>
          </w:p>
        </w:tc>
        <w:tc>
          <w:tcPr>
            <w:tcW w:w="3590" w:type="dxa"/>
          </w:tcPr>
          <w:p w14:paraId="1B25AF53" w14:textId="77777777" w:rsidR="006C4239" w:rsidRPr="00D51AE5" w:rsidRDefault="006C4239" w:rsidP="00011CDA">
            <w:pPr>
              <w:pStyle w:val="ListParagraph"/>
              <w:tabs>
                <w:tab w:val="left" w:pos="2745"/>
              </w:tabs>
              <w:ind w:left="709"/>
              <w:jc w:val="both"/>
            </w:pPr>
          </w:p>
        </w:tc>
        <w:tc>
          <w:tcPr>
            <w:tcW w:w="4267" w:type="dxa"/>
          </w:tcPr>
          <w:p w14:paraId="24C3DF3D" w14:textId="77777777" w:rsidR="006C4239" w:rsidRPr="00D51AE5" w:rsidRDefault="006C4239" w:rsidP="00011CDA">
            <w:pPr>
              <w:pStyle w:val="ListParagraph"/>
              <w:tabs>
                <w:tab w:val="left" w:pos="2745"/>
              </w:tabs>
              <w:ind w:left="709"/>
              <w:jc w:val="both"/>
            </w:pPr>
          </w:p>
        </w:tc>
      </w:tr>
      <w:tr w:rsidR="006C4239" w:rsidRPr="00D51AE5" w14:paraId="5D6F8885" w14:textId="5E9766DC" w:rsidTr="007639A7">
        <w:tc>
          <w:tcPr>
            <w:tcW w:w="6044" w:type="dxa"/>
          </w:tcPr>
          <w:p w14:paraId="288A51C4" w14:textId="77777777" w:rsidR="006C4239" w:rsidRPr="00D51AE5" w:rsidRDefault="006C4239" w:rsidP="006C4239">
            <w:pPr>
              <w:pStyle w:val="ListParagraph"/>
              <w:numPr>
                <w:ilvl w:val="2"/>
                <w:numId w:val="11"/>
              </w:numPr>
              <w:ind w:left="1985" w:hanging="426"/>
              <w:jc w:val="both"/>
            </w:pPr>
            <w:r w:rsidRPr="00D51AE5">
              <w:t>No HSC Application was received by the DOE;</w:t>
            </w:r>
          </w:p>
        </w:tc>
        <w:tc>
          <w:tcPr>
            <w:tcW w:w="3590" w:type="dxa"/>
          </w:tcPr>
          <w:p w14:paraId="344D5AB3" w14:textId="77777777" w:rsidR="006C4239" w:rsidRPr="00D51AE5" w:rsidRDefault="006C4239" w:rsidP="00011CDA">
            <w:pPr>
              <w:pStyle w:val="ListParagraph"/>
              <w:ind w:left="1985"/>
              <w:jc w:val="both"/>
            </w:pPr>
          </w:p>
        </w:tc>
        <w:tc>
          <w:tcPr>
            <w:tcW w:w="4267" w:type="dxa"/>
          </w:tcPr>
          <w:p w14:paraId="7151FB2F" w14:textId="77777777" w:rsidR="006C4239" w:rsidRPr="00D51AE5" w:rsidRDefault="006C4239" w:rsidP="00011CDA">
            <w:pPr>
              <w:pStyle w:val="ListParagraph"/>
              <w:ind w:left="1985"/>
              <w:jc w:val="both"/>
            </w:pPr>
          </w:p>
        </w:tc>
      </w:tr>
      <w:tr w:rsidR="006C4239" w:rsidRPr="00D51AE5" w14:paraId="00EA1198" w14:textId="4C6A9CB2" w:rsidTr="007639A7">
        <w:tc>
          <w:tcPr>
            <w:tcW w:w="6044" w:type="dxa"/>
          </w:tcPr>
          <w:p w14:paraId="1AD538A0" w14:textId="77777777" w:rsidR="006C4239" w:rsidRPr="00D51AE5" w:rsidRDefault="006C4239" w:rsidP="006C4239">
            <w:pPr>
              <w:pStyle w:val="ListParagraph"/>
              <w:numPr>
                <w:ilvl w:val="2"/>
                <w:numId w:val="11"/>
              </w:numPr>
              <w:ind w:left="1985" w:hanging="426"/>
              <w:jc w:val="both"/>
            </w:pPr>
            <w:r w:rsidRPr="00D51AE5">
              <w:lastRenderedPageBreak/>
              <w:t>No HSC Application passed the legal requirements; or</w:t>
            </w:r>
          </w:p>
        </w:tc>
        <w:tc>
          <w:tcPr>
            <w:tcW w:w="3590" w:type="dxa"/>
          </w:tcPr>
          <w:p w14:paraId="19D1333F" w14:textId="77777777" w:rsidR="006C4239" w:rsidRPr="00D51AE5" w:rsidRDefault="006C4239" w:rsidP="00011CDA">
            <w:pPr>
              <w:pStyle w:val="ListParagraph"/>
              <w:ind w:left="1985"/>
              <w:jc w:val="both"/>
            </w:pPr>
          </w:p>
        </w:tc>
        <w:tc>
          <w:tcPr>
            <w:tcW w:w="4267" w:type="dxa"/>
          </w:tcPr>
          <w:p w14:paraId="310A3AD2" w14:textId="77777777" w:rsidR="006C4239" w:rsidRPr="00D51AE5" w:rsidRDefault="006C4239" w:rsidP="00011CDA">
            <w:pPr>
              <w:pStyle w:val="ListParagraph"/>
              <w:ind w:left="1985"/>
              <w:jc w:val="both"/>
            </w:pPr>
          </w:p>
        </w:tc>
      </w:tr>
      <w:tr w:rsidR="006C4239" w:rsidRPr="00D51AE5" w14:paraId="6F9DD34B" w14:textId="5D3EC6A0" w:rsidTr="007639A7">
        <w:tc>
          <w:tcPr>
            <w:tcW w:w="6044" w:type="dxa"/>
          </w:tcPr>
          <w:p w14:paraId="2EB1A1ED" w14:textId="77777777" w:rsidR="006C4239" w:rsidRPr="00D51AE5" w:rsidRDefault="006C4239" w:rsidP="006C4239">
            <w:pPr>
              <w:pStyle w:val="ListParagraph"/>
              <w:numPr>
                <w:ilvl w:val="2"/>
                <w:numId w:val="11"/>
              </w:numPr>
              <w:ind w:left="1985" w:hanging="426"/>
              <w:jc w:val="both"/>
            </w:pPr>
            <w:r w:rsidRPr="00D51AE5">
              <w:t>When one or more HSC Applications passed the legal requirements but after the evaluation of technical and financial proposals, none of such HSC Applications were able to meet either the technical or financial requirements.</w:t>
            </w:r>
          </w:p>
        </w:tc>
        <w:tc>
          <w:tcPr>
            <w:tcW w:w="3590" w:type="dxa"/>
          </w:tcPr>
          <w:p w14:paraId="74D098D7" w14:textId="77777777" w:rsidR="006C4239" w:rsidRPr="00D51AE5" w:rsidRDefault="006C4239" w:rsidP="00011CDA">
            <w:pPr>
              <w:pStyle w:val="ListParagraph"/>
              <w:ind w:left="1985"/>
              <w:jc w:val="both"/>
            </w:pPr>
          </w:p>
        </w:tc>
        <w:tc>
          <w:tcPr>
            <w:tcW w:w="4267" w:type="dxa"/>
          </w:tcPr>
          <w:p w14:paraId="4C56D2F9" w14:textId="77777777" w:rsidR="006C4239" w:rsidRPr="00D51AE5" w:rsidRDefault="006C4239" w:rsidP="00011CDA">
            <w:pPr>
              <w:pStyle w:val="ListParagraph"/>
              <w:ind w:left="1985"/>
              <w:jc w:val="both"/>
            </w:pPr>
          </w:p>
        </w:tc>
      </w:tr>
      <w:tr w:rsidR="006C4239" w:rsidRPr="00D51AE5" w14:paraId="669A1911" w14:textId="58DC7924" w:rsidTr="007639A7">
        <w:tc>
          <w:tcPr>
            <w:tcW w:w="6044" w:type="dxa"/>
          </w:tcPr>
          <w:p w14:paraId="59EFFBC2" w14:textId="1A9F73C6" w:rsidR="006C4239" w:rsidRPr="00D51AE5" w:rsidRDefault="006C4239" w:rsidP="006C4239">
            <w:pPr>
              <w:tabs>
                <w:tab w:val="left" w:pos="2745"/>
              </w:tabs>
              <w:contextualSpacing/>
              <w:jc w:val="both"/>
              <w:rPr>
                <w:rFonts w:ascii="Arial" w:hAnsi="Arial" w:cs="Arial"/>
              </w:rPr>
            </w:pPr>
            <w:r w:rsidRPr="00D51AE5">
              <w:rPr>
                <w:rFonts w:ascii="Arial" w:hAnsi="Arial" w:cs="Arial"/>
              </w:rPr>
              <w:t>In any of the foregoing cases, the PDA shall be opened for Direct Applications. To initiate the change of mode of awarding HSC from OCSP to Direct Application for the relevant areas, the DOE shall include in the announcement of the result of the OCSP the area/s which shall be open for Direct Application, indicating thereat when the new application process shall commence.</w:t>
            </w:r>
          </w:p>
        </w:tc>
        <w:tc>
          <w:tcPr>
            <w:tcW w:w="3590" w:type="dxa"/>
          </w:tcPr>
          <w:p w14:paraId="1B834EF4" w14:textId="77777777" w:rsidR="006C4239" w:rsidRPr="00D51AE5" w:rsidRDefault="006C4239" w:rsidP="006C4239">
            <w:pPr>
              <w:tabs>
                <w:tab w:val="left" w:pos="2745"/>
              </w:tabs>
              <w:contextualSpacing/>
              <w:jc w:val="both"/>
              <w:rPr>
                <w:rFonts w:ascii="Arial" w:hAnsi="Arial" w:cs="Arial"/>
              </w:rPr>
            </w:pPr>
          </w:p>
        </w:tc>
        <w:tc>
          <w:tcPr>
            <w:tcW w:w="4267" w:type="dxa"/>
          </w:tcPr>
          <w:p w14:paraId="1D204D05" w14:textId="77777777" w:rsidR="006C4239" w:rsidRPr="00D51AE5" w:rsidRDefault="006C4239" w:rsidP="006C4239">
            <w:pPr>
              <w:tabs>
                <w:tab w:val="left" w:pos="2745"/>
              </w:tabs>
              <w:contextualSpacing/>
              <w:jc w:val="both"/>
              <w:rPr>
                <w:rFonts w:ascii="Arial" w:hAnsi="Arial" w:cs="Arial"/>
              </w:rPr>
            </w:pPr>
          </w:p>
        </w:tc>
      </w:tr>
      <w:tr w:rsidR="006C4239" w:rsidRPr="00D51AE5" w14:paraId="48E8F5C2" w14:textId="7F9D3DEB" w:rsidTr="007639A7">
        <w:tc>
          <w:tcPr>
            <w:tcW w:w="6044" w:type="dxa"/>
          </w:tcPr>
          <w:p w14:paraId="2958A61A" w14:textId="77777777" w:rsidR="006C4239" w:rsidRPr="00D51AE5" w:rsidRDefault="006C4239" w:rsidP="006C4239">
            <w:pPr>
              <w:contextualSpacing/>
              <w:jc w:val="both"/>
              <w:outlineLvl w:val="1"/>
              <w:rPr>
                <w:rFonts w:ascii="Arial" w:hAnsi="Arial" w:cs="Arial"/>
                <w:b/>
                <w:bCs/>
              </w:rPr>
            </w:pPr>
            <w:r w:rsidRPr="00D51AE5">
              <w:rPr>
                <w:rFonts w:ascii="Arial" w:hAnsi="Arial" w:cs="Arial"/>
                <w:b/>
                <w:bCs/>
              </w:rPr>
              <w:t>Section 5. Procedure for Awarding Hydropower Service Contract under Direct Application.</w:t>
            </w:r>
          </w:p>
        </w:tc>
        <w:tc>
          <w:tcPr>
            <w:tcW w:w="3590" w:type="dxa"/>
          </w:tcPr>
          <w:p w14:paraId="4873A7A2" w14:textId="77777777" w:rsidR="006C4239" w:rsidRPr="00D51AE5" w:rsidRDefault="006C4239" w:rsidP="006C4239">
            <w:pPr>
              <w:contextualSpacing/>
              <w:jc w:val="both"/>
              <w:outlineLvl w:val="1"/>
              <w:rPr>
                <w:rFonts w:ascii="Arial" w:hAnsi="Arial" w:cs="Arial"/>
                <w:b/>
                <w:bCs/>
              </w:rPr>
            </w:pPr>
          </w:p>
        </w:tc>
        <w:tc>
          <w:tcPr>
            <w:tcW w:w="4267" w:type="dxa"/>
          </w:tcPr>
          <w:p w14:paraId="4E5D6990" w14:textId="77777777" w:rsidR="006C4239" w:rsidRPr="00D51AE5" w:rsidRDefault="006C4239" w:rsidP="006C4239">
            <w:pPr>
              <w:contextualSpacing/>
              <w:jc w:val="both"/>
              <w:outlineLvl w:val="1"/>
              <w:rPr>
                <w:rFonts w:ascii="Arial" w:hAnsi="Arial" w:cs="Arial"/>
                <w:b/>
                <w:bCs/>
              </w:rPr>
            </w:pPr>
          </w:p>
        </w:tc>
      </w:tr>
      <w:tr w:rsidR="006C4239" w:rsidRPr="00D51AE5" w14:paraId="6F485C6E" w14:textId="27E80413" w:rsidTr="007639A7">
        <w:tc>
          <w:tcPr>
            <w:tcW w:w="6044" w:type="dxa"/>
          </w:tcPr>
          <w:p w14:paraId="28AC265C" w14:textId="7979854B" w:rsidR="006C4239" w:rsidRPr="00D51AE5" w:rsidRDefault="006C4239" w:rsidP="006C4239">
            <w:pPr>
              <w:pStyle w:val="ListParagraph"/>
              <w:numPr>
                <w:ilvl w:val="1"/>
                <w:numId w:val="12"/>
              </w:numPr>
              <w:ind w:left="709"/>
              <w:jc w:val="both"/>
            </w:pPr>
            <w:r w:rsidRPr="00D51AE5">
              <w:rPr>
                <w:b/>
                <w:bCs/>
              </w:rPr>
              <w:t xml:space="preserve">Coverage. </w:t>
            </w:r>
            <w:r w:rsidRPr="00D51AE5">
              <w:t>Direct Application shall be observed in processing HSC Applications for: (a) hydropower resources located in PDAs which the DOE shall declare as available under this mode pursuant to Section 4.4 of this Chapter, and (b) hydropower resources in areas other than those included in the PDAs, subject to the procedures provided herein.</w:t>
            </w:r>
          </w:p>
        </w:tc>
        <w:tc>
          <w:tcPr>
            <w:tcW w:w="3590" w:type="dxa"/>
          </w:tcPr>
          <w:p w14:paraId="358CF3A5" w14:textId="77777777" w:rsidR="006C4239" w:rsidRPr="00D51AE5" w:rsidRDefault="006C4239" w:rsidP="001557B1">
            <w:pPr>
              <w:pStyle w:val="ListParagraph"/>
              <w:ind w:left="709"/>
              <w:jc w:val="both"/>
              <w:rPr>
                <w:b/>
                <w:bCs/>
              </w:rPr>
            </w:pPr>
          </w:p>
        </w:tc>
        <w:tc>
          <w:tcPr>
            <w:tcW w:w="4267" w:type="dxa"/>
          </w:tcPr>
          <w:p w14:paraId="0AF11EA7" w14:textId="77777777" w:rsidR="006C4239" w:rsidRPr="00D51AE5" w:rsidRDefault="006C4239" w:rsidP="001557B1">
            <w:pPr>
              <w:pStyle w:val="ListParagraph"/>
              <w:ind w:left="709"/>
              <w:jc w:val="both"/>
              <w:rPr>
                <w:b/>
                <w:bCs/>
              </w:rPr>
            </w:pPr>
          </w:p>
        </w:tc>
      </w:tr>
      <w:tr w:rsidR="006C4239" w:rsidRPr="00D51AE5" w14:paraId="7F40DAD0" w14:textId="27BEEC5D" w:rsidTr="007639A7">
        <w:tc>
          <w:tcPr>
            <w:tcW w:w="6044" w:type="dxa"/>
          </w:tcPr>
          <w:p w14:paraId="046DB18B" w14:textId="77777777" w:rsidR="006C4239" w:rsidRPr="00D51AE5" w:rsidRDefault="006C4239" w:rsidP="006C4239">
            <w:pPr>
              <w:pStyle w:val="Heading3"/>
              <w:spacing w:before="0"/>
              <w:contextualSpacing/>
              <w:jc w:val="both"/>
              <w:rPr>
                <w:rFonts w:ascii="Arial" w:hAnsi="Arial" w:cs="Arial"/>
                <w:b/>
                <w:bCs/>
                <w:i/>
                <w:iCs/>
                <w:color w:val="auto"/>
                <w:spacing w:val="-2"/>
              </w:rPr>
            </w:pPr>
            <w:r w:rsidRPr="00D51AE5">
              <w:rPr>
                <w:rFonts w:ascii="Arial" w:hAnsi="Arial" w:cs="Arial"/>
                <w:b/>
                <w:bCs/>
                <w:i/>
                <w:iCs/>
                <w:color w:val="auto"/>
              </w:rPr>
              <w:lastRenderedPageBreak/>
              <w:t>Part</w:t>
            </w:r>
            <w:r w:rsidRPr="00D51AE5">
              <w:rPr>
                <w:rFonts w:ascii="Arial" w:hAnsi="Arial" w:cs="Arial"/>
                <w:b/>
                <w:bCs/>
                <w:i/>
                <w:iCs/>
                <w:color w:val="auto"/>
                <w:spacing w:val="-3"/>
              </w:rPr>
              <w:t xml:space="preserve"> </w:t>
            </w:r>
            <w:r w:rsidRPr="00D51AE5">
              <w:rPr>
                <w:rFonts w:ascii="Arial" w:hAnsi="Arial" w:cs="Arial"/>
                <w:b/>
                <w:bCs/>
                <w:i/>
                <w:iCs/>
                <w:color w:val="auto"/>
              </w:rPr>
              <w:t>1.</w:t>
            </w:r>
            <w:r w:rsidRPr="00D51AE5">
              <w:rPr>
                <w:rFonts w:ascii="Arial" w:hAnsi="Arial" w:cs="Arial"/>
                <w:b/>
                <w:bCs/>
                <w:i/>
                <w:iCs/>
                <w:color w:val="auto"/>
                <w:spacing w:val="-3"/>
              </w:rPr>
              <w:t xml:space="preserve"> </w:t>
            </w:r>
            <w:r w:rsidRPr="00D51AE5">
              <w:rPr>
                <w:rFonts w:ascii="Arial" w:hAnsi="Arial" w:cs="Arial"/>
                <w:b/>
                <w:bCs/>
                <w:i/>
                <w:iCs/>
                <w:color w:val="auto"/>
              </w:rPr>
              <w:t>Pre-Application</w:t>
            </w:r>
            <w:r w:rsidRPr="00D51AE5">
              <w:rPr>
                <w:rFonts w:ascii="Arial" w:hAnsi="Arial" w:cs="Arial"/>
                <w:b/>
                <w:bCs/>
                <w:i/>
                <w:iCs/>
                <w:color w:val="auto"/>
                <w:spacing w:val="-1"/>
              </w:rPr>
              <w:t xml:space="preserve"> </w:t>
            </w:r>
            <w:r w:rsidRPr="00D51AE5">
              <w:rPr>
                <w:rFonts w:ascii="Arial" w:hAnsi="Arial" w:cs="Arial"/>
                <w:b/>
                <w:bCs/>
                <w:i/>
                <w:iCs/>
                <w:color w:val="auto"/>
                <w:spacing w:val="-2"/>
              </w:rPr>
              <w:t>Process</w:t>
            </w:r>
          </w:p>
        </w:tc>
        <w:tc>
          <w:tcPr>
            <w:tcW w:w="3590" w:type="dxa"/>
          </w:tcPr>
          <w:p w14:paraId="450A47FD" w14:textId="77777777" w:rsidR="006C4239" w:rsidRPr="00D51AE5" w:rsidRDefault="006C4239" w:rsidP="006C4239">
            <w:pPr>
              <w:pStyle w:val="Heading3"/>
              <w:spacing w:before="0"/>
              <w:contextualSpacing/>
              <w:jc w:val="both"/>
              <w:rPr>
                <w:rFonts w:ascii="Arial" w:hAnsi="Arial" w:cs="Arial"/>
                <w:b/>
                <w:bCs/>
                <w:i/>
                <w:iCs/>
                <w:color w:val="auto"/>
              </w:rPr>
            </w:pPr>
          </w:p>
        </w:tc>
        <w:tc>
          <w:tcPr>
            <w:tcW w:w="4267" w:type="dxa"/>
          </w:tcPr>
          <w:p w14:paraId="627E6986" w14:textId="77777777" w:rsidR="006C4239" w:rsidRPr="00D51AE5" w:rsidRDefault="006C4239" w:rsidP="006C4239">
            <w:pPr>
              <w:pStyle w:val="Heading3"/>
              <w:spacing w:before="0"/>
              <w:contextualSpacing/>
              <w:jc w:val="both"/>
              <w:rPr>
                <w:rFonts w:ascii="Arial" w:hAnsi="Arial" w:cs="Arial"/>
                <w:b/>
                <w:bCs/>
                <w:i/>
                <w:iCs/>
                <w:color w:val="auto"/>
              </w:rPr>
            </w:pPr>
          </w:p>
        </w:tc>
      </w:tr>
      <w:tr w:rsidR="006C4239" w:rsidRPr="00D51AE5" w14:paraId="1296DBB7" w14:textId="7597355D" w:rsidTr="007639A7">
        <w:tc>
          <w:tcPr>
            <w:tcW w:w="6044" w:type="dxa"/>
          </w:tcPr>
          <w:p w14:paraId="2F4F5C5B" w14:textId="77777777" w:rsidR="006C4239" w:rsidRPr="00D51AE5" w:rsidRDefault="006C4239" w:rsidP="006C4239">
            <w:pPr>
              <w:pStyle w:val="ListParagraph"/>
              <w:numPr>
                <w:ilvl w:val="1"/>
                <w:numId w:val="12"/>
              </w:numPr>
              <w:ind w:left="709"/>
              <w:jc w:val="both"/>
            </w:pPr>
            <w:r w:rsidRPr="00D51AE5">
              <w:rPr>
                <w:b/>
                <w:bCs/>
              </w:rPr>
              <w:t xml:space="preserve">Registration in the EVOSS System. </w:t>
            </w:r>
            <w:r w:rsidRPr="00D51AE5">
              <w:t>If the interested participant has no EVOSS System account yet, it shall submit a request for registration in the EVOSS System with Hydropower and Ocean Energy Management Division (HOEMD).</w:t>
            </w:r>
          </w:p>
        </w:tc>
        <w:tc>
          <w:tcPr>
            <w:tcW w:w="3590" w:type="dxa"/>
          </w:tcPr>
          <w:p w14:paraId="585A4CC0" w14:textId="77777777" w:rsidR="006C4239" w:rsidRPr="00D51AE5" w:rsidRDefault="006C4239" w:rsidP="001557B1">
            <w:pPr>
              <w:pStyle w:val="ListParagraph"/>
              <w:ind w:left="709"/>
              <w:jc w:val="both"/>
              <w:rPr>
                <w:b/>
                <w:bCs/>
              </w:rPr>
            </w:pPr>
          </w:p>
        </w:tc>
        <w:tc>
          <w:tcPr>
            <w:tcW w:w="4267" w:type="dxa"/>
          </w:tcPr>
          <w:p w14:paraId="44E72FDD" w14:textId="77777777" w:rsidR="006C4239" w:rsidRPr="00D51AE5" w:rsidRDefault="006C4239" w:rsidP="001557B1">
            <w:pPr>
              <w:pStyle w:val="ListParagraph"/>
              <w:ind w:left="709"/>
              <w:jc w:val="both"/>
              <w:rPr>
                <w:b/>
                <w:bCs/>
              </w:rPr>
            </w:pPr>
          </w:p>
        </w:tc>
      </w:tr>
      <w:tr w:rsidR="006C4239" w:rsidRPr="00D51AE5" w14:paraId="1668EB88" w14:textId="03DBD20E" w:rsidTr="007639A7">
        <w:tc>
          <w:tcPr>
            <w:tcW w:w="6044" w:type="dxa"/>
          </w:tcPr>
          <w:p w14:paraId="122E5469" w14:textId="77777777" w:rsidR="006C4239" w:rsidRPr="00D51AE5" w:rsidRDefault="006C4239" w:rsidP="006C4239">
            <w:pPr>
              <w:pStyle w:val="ListParagraph"/>
              <w:numPr>
                <w:ilvl w:val="1"/>
                <w:numId w:val="12"/>
              </w:numPr>
              <w:ind w:left="709"/>
              <w:jc w:val="both"/>
            </w:pPr>
            <w:r w:rsidRPr="00D51AE5">
              <w:rPr>
                <w:b/>
                <w:bCs/>
              </w:rPr>
              <w:t xml:space="preserve">Submission of Letter of Intent. </w:t>
            </w:r>
            <w:r w:rsidRPr="00D51AE5">
              <w:t>All interested participants shall submit through the EVOSS System an LOI to develop a certain area, in accordance with the mapping requirements (Annex J). The LOI shall be addressed to the REMB Director and shall indicate whether the interested participant will avail of the Certificate of Authority referred to in Sections 6 and 7.1 of this Chapter. The submission of the LOI shall not be considered as a filing of an HSC Application and shall not commence the application process.</w:t>
            </w:r>
          </w:p>
        </w:tc>
        <w:tc>
          <w:tcPr>
            <w:tcW w:w="3590" w:type="dxa"/>
          </w:tcPr>
          <w:p w14:paraId="12767C55" w14:textId="77777777" w:rsidR="006C4239" w:rsidRPr="00D51AE5" w:rsidRDefault="006C4239" w:rsidP="001557B1">
            <w:pPr>
              <w:pStyle w:val="ListParagraph"/>
              <w:ind w:left="709"/>
              <w:jc w:val="both"/>
              <w:rPr>
                <w:b/>
                <w:bCs/>
              </w:rPr>
            </w:pPr>
          </w:p>
        </w:tc>
        <w:tc>
          <w:tcPr>
            <w:tcW w:w="4267" w:type="dxa"/>
          </w:tcPr>
          <w:p w14:paraId="23161A63" w14:textId="77777777" w:rsidR="006C4239" w:rsidRPr="00D51AE5" w:rsidRDefault="006C4239" w:rsidP="001557B1">
            <w:pPr>
              <w:pStyle w:val="ListParagraph"/>
              <w:ind w:left="709"/>
              <w:jc w:val="both"/>
              <w:rPr>
                <w:b/>
                <w:bCs/>
              </w:rPr>
            </w:pPr>
          </w:p>
        </w:tc>
      </w:tr>
      <w:tr w:rsidR="006C4239" w:rsidRPr="00D51AE5" w14:paraId="058D50A9" w14:textId="57D5EA4C" w:rsidTr="007639A7">
        <w:tc>
          <w:tcPr>
            <w:tcW w:w="6044" w:type="dxa"/>
          </w:tcPr>
          <w:p w14:paraId="20695FCF" w14:textId="77777777" w:rsidR="006C4239" w:rsidRPr="00D51AE5" w:rsidRDefault="006C4239" w:rsidP="006C4239">
            <w:pPr>
              <w:pStyle w:val="ListParagraph"/>
              <w:numPr>
                <w:ilvl w:val="1"/>
                <w:numId w:val="12"/>
              </w:numPr>
              <w:ind w:left="709"/>
              <w:jc w:val="both"/>
            </w:pPr>
            <w:r w:rsidRPr="00D51AE5">
              <w:rPr>
                <w:b/>
                <w:bCs/>
              </w:rPr>
              <w:t xml:space="preserve">Orientation of Interested Participant. </w:t>
            </w:r>
            <w:r w:rsidRPr="00D51AE5">
              <w:t>The orientation is intended to inform interested participants about the HSC Application requirements, and to guide them through the process for evaluation thereof, awarding of HSC and the registration of a hydropower project.</w:t>
            </w:r>
          </w:p>
        </w:tc>
        <w:tc>
          <w:tcPr>
            <w:tcW w:w="3590" w:type="dxa"/>
          </w:tcPr>
          <w:p w14:paraId="7224EB46" w14:textId="77777777" w:rsidR="006C4239" w:rsidRPr="00D51AE5" w:rsidRDefault="006C4239" w:rsidP="001557B1">
            <w:pPr>
              <w:pStyle w:val="ListParagraph"/>
              <w:ind w:left="709"/>
              <w:jc w:val="both"/>
              <w:rPr>
                <w:b/>
                <w:bCs/>
              </w:rPr>
            </w:pPr>
          </w:p>
        </w:tc>
        <w:tc>
          <w:tcPr>
            <w:tcW w:w="4267" w:type="dxa"/>
          </w:tcPr>
          <w:p w14:paraId="448A3CAD" w14:textId="77777777" w:rsidR="006C4239" w:rsidRPr="00D51AE5" w:rsidRDefault="006C4239" w:rsidP="001557B1">
            <w:pPr>
              <w:pStyle w:val="ListParagraph"/>
              <w:ind w:left="709"/>
              <w:jc w:val="both"/>
              <w:rPr>
                <w:b/>
                <w:bCs/>
              </w:rPr>
            </w:pPr>
          </w:p>
        </w:tc>
      </w:tr>
      <w:tr w:rsidR="006C4239" w:rsidRPr="00D51AE5" w14:paraId="3FB03141" w14:textId="6E17E0AF" w:rsidTr="007639A7">
        <w:tc>
          <w:tcPr>
            <w:tcW w:w="6044" w:type="dxa"/>
          </w:tcPr>
          <w:p w14:paraId="2F9D46C1" w14:textId="77777777" w:rsidR="006C4239" w:rsidRPr="00D51AE5" w:rsidRDefault="006C4239" w:rsidP="006C4239">
            <w:pPr>
              <w:pStyle w:val="ListParagraph"/>
              <w:numPr>
                <w:ilvl w:val="2"/>
                <w:numId w:val="14"/>
              </w:numPr>
              <w:ind w:left="1985" w:hanging="567"/>
              <w:jc w:val="both"/>
            </w:pPr>
            <w:r w:rsidRPr="00D51AE5">
              <w:t xml:space="preserve">All interested participants shall be informed of the schedule of orientation or briefing on the HSC </w:t>
            </w:r>
            <w:r w:rsidRPr="00D51AE5">
              <w:lastRenderedPageBreak/>
              <w:t>Application requirements and processes.</w:t>
            </w:r>
          </w:p>
        </w:tc>
        <w:tc>
          <w:tcPr>
            <w:tcW w:w="3590" w:type="dxa"/>
          </w:tcPr>
          <w:p w14:paraId="68EDEEB2" w14:textId="77777777" w:rsidR="006C4239" w:rsidRPr="00D51AE5" w:rsidRDefault="006C4239" w:rsidP="001557B1">
            <w:pPr>
              <w:pStyle w:val="ListParagraph"/>
              <w:ind w:left="1985"/>
              <w:jc w:val="both"/>
            </w:pPr>
          </w:p>
        </w:tc>
        <w:tc>
          <w:tcPr>
            <w:tcW w:w="4267" w:type="dxa"/>
          </w:tcPr>
          <w:p w14:paraId="25137D3B" w14:textId="77777777" w:rsidR="006C4239" w:rsidRPr="00D51AE5" w:rsidRDefault="006C4239" w:rsidP="001557B1">
            <w:pPr>
              <w:pStyle w:val="ListParagraph"/>
              <w:ind w:left="1985"/>
              <w:jc w:val="both"/>
            </w:pPr>
          </w:p>
        </w:tc>
      </w:tr>
      <w:tr w:rsidR="006C4239" w:rsidRPr="00D51AE5" w14:paraId="6DF79B9D" w14:textId="18356EC2" w:rsidTr="007639A7">
        <w:tc>
          <w:tcPr>
            <w:tcW w:w="6044" w:type="dxa"/>
          </w:tcPr>
          <w:p w14:paraId="08959812" w14:textId="77777777" w:rsidR="006C4239" w:rsidRPr="00D51AE5" w:rsidRDefault="006C4239" w:rsidP="006C4239">
            <w:pPr>
              <w:pStyle w:val="ListParagraph"/>
              <w:numPr>
                <w:ilvl w:val="2"/>
                <w:numId w:val="14"/>
              </w:numPr>
              <w:ind w:left="1985" w:hanging="567"/>
              <w:jc w:val="both"/>
            </w:pPr>
            <w:r w:rsidRPr="00D51AE5">
              <w:t>Any interested participant may waive attendance to the orientation in writing either in its LOI or in response to the notice of the schedule of orientation provided in the preceding paragraph.</w:t>
            </w:r>
          </w:p>
        </w:tc>
        <w:tc>
          <w:tcPr>
            <w:tcW w:w="3590" w:type="dxa"/>
          </w:tcPr>
          <w:p w14:paraId="37996DB3" w14:textId="77777777" w:rsidR="006C4239" w:rsidRPr="00D51AE5" w:rsidRDefault="006C4239" w:rsidP="001557B1">
            <w:pPr>
              <w:pStyle w:val="ListParagraph"/>
              <w:ind w:left="1985"/>
              <w:jc w:val="both"/>
            </w:pPr>
          </w:p>
        </w:tc>
        <w:tc>
          <w:tcPr>
            <w:tcW w:w="4267" w:type="dxa"/>
          </w:tcPr>
          <w:p w14:paraId="54E6C4F1" w14:textId="77777777" w:rsidR="006C4239" w:rsidRPr="00D51AE5" w:rsidRDefault="006C4239" w:rsidP="001557B1">
            <w:pPr>
              <w:pStyle w:val="ListParagraph"/>
              <w:ind w:left="1985"/>
              <w:jc w:val="both"/>
            </w:pPr>
          </w:p>
        </w:tc>
      </w:tr>
      <w:tr w:rsidR="006C4239" w:rsidRPr="00D51AE5" w14:paraId="5D559BEB" w14:textId="3418D641" w:rsidTr="007639A7">
        <w:tc>
          <w:tcPr>
            <w:tcW w:w="6044" w:type="dxa"/>
          </w:tcPr>
          <w:p w14:paraId="0C20B1E7" w14:textId="77777777" w:rsidR="006C4239" w:rsidRPr="00D51AE5" w:rsidRDefault="006C4239" w:rsidP="006C4239">
            <w:pPr>
              <w:contextualSpacing/>
              <w:jc w:val="both"/>
              <w:rPr>
                <w:rFonts w:ascii="Arial" w:hAnsi="Arial" w:cs="Arial"/>
                <w:b/>
                <w:i/>
              </w:rPr>
            </w:pPr>
            <w:r w:rsidRPr="00D51AE5">
              <w:rPr>
                <w:rFonts w:ascii="Arial" w:hAnsi="Arial" w:cs="Arial"/>
                <w:b/>
                <w:bCs/>
                <w:i/>
                <w:iCs/>
              </w:rPr>
              <w:t xml:space="preserve">Part 2. </w:t>
            </w:r>
            <w:r w:rsidRPr="00D51AE5">
              <w:rPr>
                <w:rFonts w:ascii="Arial" w:hAnsi="Arial" w:cs="Arial"/>
                <w:b/>
                <w:i/>
              </w:rPr>
              <w:t>Area Verification and Technical Guidelines</w:t>
            </w:r>
          </w:p>
        </w:tc>
        <w:tc>
          <w:tcPr>
            <w:tcW w:w="3590" w:type="dxa"/>
          </w:tcPr>
          <w:p w14:paraId="69819109" w14:textId="77777777" w:rsidR="006C4239" w:rsidRPr="00D51AE5" w:rsidRDefault="006C4239" w:rsidP="006C4239">
            <w:pPr>
              <w:contextualSpacing/>
              <w:jc w:val="both"/>
              <w:rPr>
                <w:rFonts w:ascii="Arial" w:hAnsi="Arial" w:cs="Arial"/>
                <w:b/>
                <w:bCs/>
                <w:i/>
                <w:iCs/>
              </w:rPr>
            </w:pPr>
          </w:p>
        </w:tc>
        <w:tc>
          <w:tcPr>
            <w:tcW w:w="4267" w:type="dxa"/>
          </w:tcPr>
          <w:p w14:paraId="37E04E69" w14:textId="77777777" w:rsidR="006C4239" w:rsidRPr="00D51AE5" w:rsidRDefault="006C4239" w:rsidP="006C4239">
            <w:pPr>
              <w:contextualSpacing/>
              <w:jc w:val="both"/>
              <w:rPr>
                <w:rFonts w:ascii="Arial" w:hAnsi="Arial" w:cs="Arial"/>
                <w:b/>
                <w:bCs/>
                <w:i/>
                <w:iCs/>
              </w:rPr>
            </w:pPr>
          </w:p>
        </w:tc>
      </w:tr>
      <w:tr w:rsidR="006C4239" w:rsidRPr="00D51AE5" w14:paraId="62597EFA" w14:textId="67F47D26" w:rsidTr="007639A7">
        <w:tc>
          <w:tcPr>
            <w:tcW w:w="6044" w:type="dxa"/>
          </w:tcPr>
          <w:p w14:paraId="6900E4E1" w14:textId="77777777" w:rsidR="006C4239" w:rsidRPr="00D51AE5" w:rsidRDefault="006C4239" w:rsidP="006C4239">
            <w:pPr>
              <w:pStyle w:val="ListParagraph"/>
              <w:numPr>
                <w:ilvl w:val="1"/>
                <w:numId w:val="12"/>
              </w:numPr>
              <w:ind w:left="709"/>
              <w:jc w:val="both"/>
            </w:pPr>
            <w:r w:rsidRPr="00D51AE5">
              <w:rPr>
                <w:b/>
                <w:bCs/>
              </w:rPr>
              <w:t>Configuration of Area</w:t>
            </w:r>
            <w:r w:rsidRPr="00D51AE5">
              <w:rPr>
                <w:b/>
              </w:rPr>
              <w:t xml:space="preserve"> of </w:t>
            </w:r>
            <w:r w:rsidRPr="00D51AE5">
              <w:rPr>
                <w:b/>
                <w:bCs/>
              </w:rPr>
              <w:t>Interest</w:t>
            </w:r>
            <w:r w:rsidRPr="00D51AE5">
              <w:t>. The interested participant shall indicate the geographic coordinates of the proposed location of the weir and powerhouse, with elevation, on the area of interest (AOI) for the HSC Application.</w:t>
            </w:r>
          </w:p>
        </w:tc>
        <w:tc>
          <w:tcPr>
            <w:tcW w:w="3590" w:type="dxa"/>
          </w:tcPr>
          <w:p w14:paraId="14663805" w14:textId="77777777" w:rsidR="006C4239" w:rsidRPr="00D51AE5" w:rsidRDefault="006C4239" w:rsidP="006A1E11">
            <w:pPr>
              <w:pStyle w:val="ListParagraph"/>
              <w:ind w:left="709"/>
              <w:jc w:val="both"/>
              <w:rPr>
                <w:b/>
                <w:bCs/>
              </w:rPr>
            </w:pPr>
          </w:p>
        </w:tc>
        <w:tc>
          <w:tcPr>
            <w:tcW w:w="4267" w:type="dxa"/>
          </w:tcPr>
          <w:p w14:paraId="29720162" w14:textId="77777777" w:rsidR="006C4239" w:rsidRPr="00D51AE5" w:rsidRDefault="006C4239" w:rsidP="006A1E11">
            <w:pPr>
              <w:pStyle w:val="ListParagraph"/>
              <w:ind w:left="709"/>
              <w:jc w:val="both"/>
              <w:rPr>
                <w:b/>
                <w:bCs/>
              </w:rPr>
            </w:pPr>
          </w:p>
        </w:tc>
      </w:tr>
      <w:tr w:rsidR="006C4239" w:rsidRPr="00D51AE5" w14:paraId="06ABFA9F" w14:textId="09499F47" w:rsidTr="007639A7">
        <w:tc>
          <w:tcPr>
            <w:tcW w:w="6044" w:type="dxa"/>
          </w:tcPr>
          <w:p w14:paraId="20520C3B" w14:textId="77777777" w:rsidR="006C4239" w:rsidRPr="00D51AE5" w:rsidRDefault="006C4239" w:rsidP="006C4239">
            <w:pPr>
              <w:pStyle w:val="ListParagraph"/>
              <w:numPr>
                <w:ilvl w:val="1"/>
                <w:numId w:val="12"/>
              </w:numPr>
              <w:ind w:left="709"/>
              <w:jc w:val="both"/>
            </w:pPr>
            <w:r w:rsidRPr="00D51AE5">
              <w:rPr>
                <w:b/>
                <w:bCs/>
              </w:rPr>
              <w:t xml:space="preserve">Area Verification. </w:t>
            </w:r>
            <w:r w:rsidRPr="00D51AE5">
              <w:t>Within fourteen (14) days from receipt of the LOI, ITMS shall complete the area verification and determine whether the AOI is:</w:t>
            </w:r>
          </w:p>
        </w:tc>
        <w:tc>
          <w:tcPr>
            <w:tcW w:w="3590" w:type="dxa"/>
          </w:tcPr>
          <w:p w14:paraId="18201C7C" w14:textId="15B2DDA5" w:rsidR="006C4239" w:rsidRPr="00D51AE5" w:rsidRDefault="006C4239" w:rsidP="006A1E11">
            <w:pPr>
              <w:pStyle w:val="ListParagraph"/>
              <w:ind w:left="709"/>
              <w:jc w:val="both"/>
              <w:rPr>
                <w:b/>
                <w:bCs/>
              </w:rPr>
            </w:pPr>
          </w:p>
        </w:tc>
        <w:tc>
          <w:tcPr>
            <w:tcW w:w="4267" w:type="dxa"/>
          </w:tcPr>
          <w:p w14:paraId="6870208F" w14:textId="77777777" w:rsidR="006C4239" w:rsidRPr="00D51AE5" w:rsidRDefault="006C4239" w:rsidP="006A1E11">
            <w:pPr>
              <w:pStyle w:val="ListParagraph"/>
              <w:ind w:left="709"/>
              <w:jc w:val="both"/>
              <w:rPr>
                <w:b/>
                <w:bCs/>
              </w:rPr>
            </w:pPr>
          </w:p>
        </w:tc>
      </w:tr>
      <w:tr w:rsidR="006C4239" w:rsidRPr="00D51AE5" w14:paraId="3570D3F8" w14:textId="4228C780" w:rsidTr="007639A7">
        <w:tc>
          <w:tcPr>
            <w:tcW w:w="6044" w:type="dxa"/>
          </w:tcPr>
          <w:p w14:paraId="65602B7A" w14:textId="77777777" w:rsidR="006C4239" w:rsidRPr="00D51AE5" w:rsidRDefault="006C4239" w:rsidP="006C4239">
            <w:pPr>
              <w:pStyle w:val="ListParagraph"/>
              <w:numPr>
                <w:ilvl w:val="2"/>
                <w:numId w:val="13"/>
              </w:numPr>
              <w:jc w:val="both"/>
            </w:pPr>
            <w:r w:rsidRPr="00D51AE5">
              <w:t>Covered by an existing PDA under the OCSP, HSC or HOC pending application, or other energy resource assessment activities as submitted by the concerned DOE unit and verified by ITMS;</w:t>
            </w:r>
          </w:p>
        </w:tc>
        <w:tc>
          <w:tcPr>
            <w:tcW w:w="3590" w:type="dxa"/>
          </w:tcPr>
          <w:p w14:paraId="599F383E" w14:textId="77777777" w:rsidR="006C4239" w:rsidRPr="006A1E11" w:rsidRDefault="006C4239" w:rsidP="006A1E11">
            <w:pPr>
              <w:ind w:left="1410"/>
              <w:jc w:val="both"/>
            </w:pPr>
          </w:p>
        </w:tc>
        <w:tc>
          <w:tcPr>
            <w:tcW w:w="4267" w:type="dxa"/>
          </w:tcPr>
          <w:p w14:paraId="317A500B" w14:textId="77777777" w:rsidR="006C4239" w:rsidRPr="006A1E11" w:rsidRDefault="006C4239" w:rsidP="006A1E11">
            <w:pPr>
              <w:ind w:left="1410"/>
              <w:jc w:val="both"/>
            </w:pPr>
          </w:p>
        </w:tc>
      </w:tr>
      <w:tr w:rsidR="006C4239" w:rsidRPr="00D51AE5" w14:paraId="306CA9CA" w14:textId="5C7F23ED" w:rsidTr="007639A7">
        <w:tc>
          <w:tcPr>
            <w:tcW w:w="6044" w:type="dxa"/>
          </w:tcPr>
          <w:p w14:paraId="54E6AC4B" w14:textId="77777777" w:rsidR="006C4239" w:rsidRPr="00D51AE5" w:rsidRDefault="006C4239" w:rsidP="006C4239">
            <w:pPr>
              <w:pStyle w:val="ListParagraph"/>
              <w:numPr>
                <w:ilvl w:val="2"/>
                <w:numId w:val="13"/>
              </w:numPr>
              <w:jc w:val="both"/>
            </w:pPr>
            <w:r w:rsidRPr="00D51AE5">
              <w:t xml:space="preserve">Within or overlaps with the area of an existing energy service or </w:t>
            </w:r>
            <w:r w:rsidRPr="00D51AE5">
              <w:lastRenderedPageBreak/>
              <w:t>operating contract such as Petroleum Service Contract (PSC), Coal Operating Contract (COC), Small-Scale Coal Mining Permit (SSCMP) or Renewable Energy Service Contract (RESC), other than HSC or HOC;</w:t>
            </w:r>
          </w:p>
        </w:tc>
        <w:tc>
          <w:tcPr>
            <w:tcW w:w="3590" w:type="dxa"/>
          </w:tcPr>
          <w:p w14:paraId="57E7271E" w14:textId="77777777" w:rsidR="006C4239" w:rsidRPr="006A1E11" w:rsidRDefault="006C4239" w:rsidP="006A1E11">
            <w:pPr>
              <w:ind w:left="1410"/>
              <w:jc w:val="both"/>
            </w:pPr>
          </w:p>
        </w:tc>
        <w:tc>
          <w:tcPr>
            <w:tcW w:w="4267" w:type="dxa"/>
          </w:tcPr>
          <w:p w14:paraId="1492170A" w14:textId="77777777" w:rsidR="006C4239" w:rsidRPr="006A1E11" w:rsidRDefault="006C4239" w:rsidP="006A1E11">
            <w:pPr>
              <w:ind w:left="1410"/>
              <w:jc w:val="both"/>
            </w:pPr>
          </w:p>
        </w:tc>
      </w:tr>
      <w:tr w:rsidR="006C4239" w:rsidRPr="00D51AE5" w14:paraId="2E452677" w14:textId="3C18EA68" w:rsidTr="007639A7">
        <w:tc>
          <w:tcPr>
            <w:tcW w:w="6044" w:type="dxa"/>
          </w:tcPr>
          <w:p w14:paraId="45AA3878" w14:textId="77777777" w:rsidR="006C4239" w:rsidRPr="00D51AE5" w:rsidRDefault="006C4239" w:rsidP="006C4239">
            <w:pPr>
              <w:pStyle w:val="ListParagraph"/>
              <w:numPr>
                <w:ilvl w:val="2"/>
                <w:numId w:val="13"/>
              </w:numPr>
              <w:jc w:val="both"/>
            </w:pPr>
            <w:r w:rsidRPr="00D51AE5">
              <w:t>Within or overlaps with the area of an existing energy service or operating contract application such as Petroleum SC, COC, SSCMP or RESC, other than HSC Application;</w:t>
            </w:r>
          </w:p>
        </w:tc>
        <w:tc>
          <w:tcPr>
            <w:tcW w:w="3590" w:type="dxa"/>
          </w:tcPr>
          <w:p w14:paraId="5E50B71F" w14:textId="77777777" w:rsidR="006C4239" w:rsidRPr="006A1E11" w:rsidRDefault="006C4239" w:rsidP="006A1E11">
            <w:pPr>
              <w:ind w:left="1410"/>
              <w:jc w:val="both"/>
            </w:pPr>
          </w:p>
        </w:tc>
        <w:tc>
          <w:tcPr>
            <w:tcW w:w="4267" w:type="dxa"/>
          </w:tcPr>
          <w:p w14:paraId="22E55DFE" w14:textId="77777777" w:rsidR="006C4239" w:rsidRPr="006A1E11" w:rsidRDefault="006C4239" w:rsidP="006A1E11">
            <w:pPr>
              <w:ind w:left="1410"/>
              <w:jc w:val="both"/>
            </w:pPr>
          </w:p>
        </w:tc>
      </w:tr>
      <w:tr w:rsidR="006C4239" w:rsidRPr="00D51AE5" w14:paraId="2107D201" w14:textId="678E007C" w:rsidTr="007639A7">
        <w:tc>
          <w:tcPr>
            <w:tcW w:w="6044" w:type="dxa"/>
          </w:tcPr>
          <w:p w14:paraId="3CC9B3E9" w14:textId="77777777" w:rsidR="006C4239" w:rsidRPr="00D51AE5" w:rsidRDefault="006C4239" w:rsidP="006C4239">
            <w:pPr>
              <w:pStyle w:val="ListParagraph"/>
              <w:numPr>
                <w:ilvl w:val="2"/>
                <w:numId w:val="13"/>
              </w:numPr>
              <w:jc w:val="both"/>
            </w:pPr>
            <w:r w:rsidRPr="00D51AE5">
              <w:t xml:space="preserve">Within the protected  and environmentally critical areas under RA No. 11038, or the “Expanded National Integrated Protected Areas System Act of 2018” (“ENIPAS”), </w:t>
            </w:r>
            <w:r w:rsidRPr="00D51AE5">
              <w:rPr>
                <w:i/>
                <w:iCs/>
              </w:rPr>
              <w:t>i.e.</w:t>
            </w:r>
            <w:r w:rsidRPr="00D51AE5">
              <w:t xml:space="preserve">, within or outside the strict protection zones, ancestral domains with Certificate of Ancestral Domain Title or Claim, areas with Tenurial Instruments from other government agencies, areas prohibited, reserved, or used for national defense, navigation, irrigation, and other development projects, and other areas covered </w:t>
            </w:r>
            <w:r w:rsidRPr="00D51AE5">
              <w:lastRenderedPageBreak/>
              <w:t>by significant geospatial data that will be identified as necessary in the evaluation of the HSC Application based on available data on file with ITMS and the National Mapping Resource Information Authority’s Philippine Geoportal Project website.</w:t>
            </w:r>
          </w:p>
        </w:tc>
        <w:tc>
          <w:tcPr>
            <w:tcW w:w="3590" w:type="dxa"/>
          </w:tcPr>
          <w:p w14:paraId="756D92A9" w14:textId="77777777" w:rsidR="006C4239" w:rsidRPr="006A1E11" w:rsidRDefault="006C4239" w:rsidP="006A1E11">
            <w:pPr>
              <w:ind w:left="1410"/>
              <w:jc w:val="both"/>
            </w:pPr>
          </w:p>
        </w:tc>
        <w:tc>
          <w:tcPr>
            <w:tcW w:w="4267" w:type="dxa"/>
          </w:tcPr>
          <w:p w14:paraId="4DB58297" w14:textId="77777777" w:rsidR="006C4239" w:rsidRPr="006A1E11" w:rsidRDefault="006C4239" w:rsidP="006A1E11">
            <w:pPr>
              <w:ind w:left="1410"/>
              <w:jc w:val="both"/>
            </w:pPr>
          </w:p>
        </w:tc>
      </w:tr>
      <w:tr w:rsidR="006C4239" w:rsidRPr="00D51AE5" w14:paraId="48B98409" w14:textId="20A7D9C0" w:rsidTr="007639A7">
        <w:tc>
          <w:tcPr>
            <w:tcW w:w="6044" w:type="dxa"/>
          </w:tcPr>
          <w:p w14:paraId="387056AA" w14:textId="77777777" w:rsidR="006C4239" w:rsidRPr="00D51AE5" w:rsidRDefault="006C4239" w:rsidP="006C4239">
            <w:pPr>
              <w:contextualSpacing/>
              <w:jc w:val="both"/>
              <w:rPr>
                <w:rFonts w:ascii="Arial" w:hAnsi="Arial" w:cs="Arial"/>
              </w:rPr>
            </w:pPr>
            <w:r w:rsidRPr="00D51AE5">
              <w:rPr>
                <w:rFonts w:ascii="Arial" w:hAnsi="Arial" w:cs="Arial"/>
              </w:rPr>
              <w:t>Pursuant to the mandate of the DOE to supervise and control all government activities relative to energy project under the EPIRA, concerned government agencies and entities shall provide the DOE the list of abovementioned areas with technical description.</w:t>
            </w:r>
          </w:p>
        </w:tc>
        <w:tc>
          <w:tcPr>
            <w:tcW w:w="3590" w:type="dxa"/>
          </w:tcPr>
          <w:p w14:paraId="0E1123CD" w14:textId="77777777" w:rsidR="006C4239" w:rsidRPr="00D51AE5" w:rsidRDefault="006C4239" w:rsidP="006C4239">
            <w:pPr>
              <w:contextualSpacing/>
              <w:jc w:val="both"/>
              <w:rPr>
                <w:rFonts w:ascii="Arial" w:hAnsi="Arial" w:cs="Arial"/>
              </w:rPr>
            </w:pPr>
          </w:p>
        </w:tc>
        <w:tc>
          <w:tcPr>
            <w:tcW w:w="4267" w:type="dxa"/>
          </w:tcPr>
          <w:p w14:paraId="625967C6" w14:textId="77777777" w:rsidR="006C4239" w:rsidRPr="00D51AE5" w:rsidRDefault="006C4239" w:rsidP="006C4239">
            <w:pPr>
              <w:contextualSpacing/>
              <w:jc w:val="both"/>
              <w:rPr>
                <w:rFonts w:ascii="Arial" w:hAnsi="Arial" w:cs="Arial"/>
              </w:rPr>
            </w:pPr>
          </w:p>
        </w:tc>
      </w:tr>
      <w:tr w:rsidR="006C4239" w:rsidRPr="00D51AE5" w14:paraId="515075D2" w14:textId="5D48EBF2" w:rsidTr="007639A7">
        <w:tc>
          <w:tcPr>
            <w:tcW w:w="6044" w:type="dxa"/>
          </w:tcPr>
          <w:p w14:paraId="13B2E6E4" w14:textId="77777777" w:rsidR="006C4239" w:rsidRPr="00D51AE5" w:rsidRDefault="006C4239" w:rsidP="006C4239">
            <w:pPr>
              <w:contextualSpacing/>
              <w:jc w:val="both"/>
              <w:rPr>
                <w:rFonts w:ascii="Arial" w:hAnsi="Arial" w:cs="Arial"/>
              </w:rPr>
            </w:pPr>
            <w:r w:rsidRPr="00D51AE5">
              <w:rPr>
                <w:rFonts w:ascii="Arial" w:hAnsi="Arial" w:cs="Arial"/>
              </w:rPr>
              <w:t>5.6.5</w:t>
            </w:r>
            <w:r w:rsidRPr="00D51AE5">
              <w:rPr>
                <w:rFonts w:ascii="Arial" w:hAnsi="Arial" w:cs="Arial"/>
              </w:rPr>
              <w:tab/>
              <w:t>Covered by the LOI of the same or other energy resource; or</w:t>
            </w:r>
          </w:p>
        </w:tc>
        <w:tc>
          <w:tcPr>
            <w:tcW w:w="3590" w:type="dxa"/>
          </w:tcPr>
          <w:p w14:paraId="737A7D43" w14:textId="77777777" w:rsidR="006C4239" w:rsidRPr="00D51AE5" w:rsidRDefault="006C4239" w:rsidP="006C4239">
            <w:pPr>
              <w:contextualSpacing/>
              <w:jc w:val="both"/>
              <w:rPr>
                <w:rFonts w:ascii="Arial" w:hAnsi="Arial" w:cs="Arial"/>
              </w:rPr>
            </w:pPr>
          </w:p>
        </w:tc>
        <w:tc>
          <w:tcPr>
            <w:tcW w:w="4267" w:type="dxa"/>
          </w:tcPr>
          <w:p w14:paraId="51907842" w14:textId="77777777" w:rsidR="006C4239" w:rsidRPr="00D51AE5" w:rsidRDefault="006C4239" w:rsidP="006C4239">
            <w:pPr>
              <w:contextualSpacing/>
              <w:jc w:val="both"/>
              <w:rPr>
                <w:rFonts w:ascii="Arial" w:hAnsi="Arial" w:cs="Arial"/>
              </w:rPr>
            </w:pPr>
          </w:p>
        </w:tc>
      </w:tr>
      <w:tr w:rsidR="006C4239" w:rsidRPr="00D51AE5" w14:paraId="291AF43E" w14:textId="531D70DA" w:rsidTr="007639A7">
        <w:tc>
          <w:tcPr>
            <w:tcW w:w="6044" w:type="dxa"/>
          </w:tcPr>
          <w:p w14:paraId="508212E0" w14:textId="77777777" w:rsidR="006C4239" w:rsidRPr="00D51AE5" w:rsidRDefault="006C4239" w:rsidP="006C4239">
            <w:pPr>
              <w:contextualSpacing/>
              <w:jc w:val="both"/>
              <w:rPr>
                <w:rFonts w:ascii="Arial" w:hAnsi="Arial" w:cs="Arial"/>
              </w:rPr>
            </w:pPr>
            <w:r w:rsidRPr="00D51AE5">
              <w:rPr>
                <w:rFonts w:ascii="Arial" w:hAnsi="Arial" w:cs="Arial"/>
              </w:rPr>
              <w:t>5.6.6.</w:t>
            </w:r>
            <w:r w:rsidRPr="00D51AE5">
              <w:rPr>
                <w:rFonts w:ascii="Arial" w:hAnsi="Arial" w:cs="Arial"/>
              </w:rPr>
              <w:tab/>
              <w:t>Open for HSC Applications.</w:t>
            </w:r>
          </w:p>
        </w:tc>
        <w:tc>
          <w:tcPr>
            <w:tcW w:w="3590" w:type="dxa"/>
          </w:tcPr>
          <w:p w14:paraId="4C8FE474" w14:textId="77777777" w:rsidR="006C4239" w:rsidRPr="00D51AE5" w:rsidRDefault="006C4239" w:rsidP="006C4239">
            <w:pPr>
              <w:contextualSpacing/>
              <w:jc w:val="both"/>
              <w:rPr>
                <w:rFonts w:ascii="Arial" w:hAnsi="Arial" w:cs="Arial"/>
              </w:rPr>
            </w:pPr>
          </w:p>
        </w:tc>
        <w:tc>
          <w:tcPr>
            <w:tcW w:w="4267" w:type="dxa"/>
          </w:tcPr>
          <w:p w14:paraId="2B7F35EF" w14:textId="77777777" w:rsidR="006C4239" w:rsidRPr="00D51AE5" w:rsidRDefault="006C4239" w:rsidP="006C4239">
            <w:pPr>
              <w:contextualSpacing/>
              <w:jc w:val="both"/>
              <w:rPr>
                <w:rFonts w:ascii="Arial" w:hAnsi="Arial" w:cs="Arial"/>
              </w:rPr>
            </w:pPr>
          </w:p>
        </w:tc>
      </w:tr>
      <w:tr w:rsidR="006C4239" w:rsidRPr="00D51AE5" w14:paraId="1C34B1E1" w14:textId="26F96939" w:rsidTr="007639A7">
        <w:tc>
          <w:tcPr>
            <w:tcW w:w="6044" w:type="dxa"/>
          </w:tcPr>
          <w:p w14:paraId="38BBEB0A" w14:textId="77777777" w:rsidR="006C4239" w:rsidRPr="00D51AE5" w:rsidRDefault="006C4239" w:rsidP="006C4239">
            <w:pPr>
              <w:pStyle w:val="ListParagraph"/>
              <w:numPr>
                <w:ilvl w:val="1"/>
                <w:numId w:val="12"/>
              </w:numPr>
              <w:ind w:left="709"/>
              <w:jc w:val="both"/>
              <w:rPr>
                <w:rFonts w:eastAsia="Arial"/>
              </w:rPr>
            </w:pPr>
            <w:r w:rsidRPr="00D51AE5">
              <w:rPr>
                <w:b/>
                <w:bCs/>
              </w:rPr>
              <w:t xml:space="preserve">Area Verification Results. </w:t>
            </w:r>
            <w:r w:rsidRPr="00D51AE5">
              <w:t xml:space="preserve">ITMS shall provide HOEMD with the results of area verification through the EVOSS System. </w:t>
            </w:r>
            <w:r w:rsidRPr="00D51AE5">
              <w:rPr>
                <w:rFonts w:eastAsia="Arial"/>
              </w:rPr>
              <w:t>HOEMD shall conduct the final technical verification and determine whether the proposed hydropower project will cause substantial disruption to an existing hydropower project. W</w:t>
            </w:r>
            <w:r w:rsidRPr="00D51AE5">
              <w:t>ithin three (3) days upon receipt of the final technical verification results,</w:t>
            </w:r>
            <w:r w:rsidRPr="00D51AE5">
              <w:rPr>
                <w:rFonts w:eastAsia="Arial"/>
              </w:rPr>
              <w:t xml:space="preserve"> HOEMD, through the REMB Assistant Director, shall endorse the final verification results and upload the letter </w:t>
            </w:r>
            <w:r w:rsidRPr="00D51AE5">
              <w:rPr>
                <w:rFonts w:eastAsia="Arial"/>
              </w:rPr>
              <w:lastRenderedPageBreak/>
              <w:t xml:space="preserve">containing the results of area verification in the EVOSS System. </w:t>
            </w:r>
          </w:p>
        </w:tc>
        <w:tc>
          <w:tcPr>
            <w:tcW w:w="3590" w:type="dxa"/>
          </w:tcPr>
          <w:p w14:paraId="2B2D1650" w14:textId="77777777" w:rsidR="006C4239" w:rsidRPr="006A1E11" w:rsidRDefault="006C4239" w:rsidP="006A1E11">
            <w:pPr>
              <w:ind w:left="1080"/>
              <w:jc w:val="both"/>
              <w:rPr>
                <w:b/>
                <w:bCs/>
              </w:rPr>
            </w:pPr>
          </w:p>
        </w:tc>
        <w:tc>
          <w:tcPr>
            <w:tcW w:w="4267" w:type="dxa"/>
          </w:tcPr>
          <w:p w14:paraId="49467CA8" w14:textId="77777777" w:rsidR="006C4239" w:rsidRPr="006A1E11" w:rsidRDefault="006C4239" w:rsidP="006A1E11">
            <w:pPr>
              <w:ind w:left="1080"/>
              <w:jc w:val="both"/>
              <w:rPr>
                <w:b/>
                <w:bCs/>
              </w:rPr>
            </w:pPr>
          </w:p>
        </w:tc>
      </w:tr>
      <w:tr w:rsidR="006C4239" w:rsidRPr="00D51AE5" w14:paraId="39ED9003" w14:textId="64A93ADB" w:rsidTr="007639A7">
        <w:tc>
          <w:tcPr>
            <w:tcW w:w="6044" w:type="dxa"/>
          </w:tcPr>
          <w:p w14:paraId="28D2CC1F" w14:textId="77777777" w:rsidR="006C4239" w:rsidRPr="00D51AE5" w:rsidRDefault="006C4239" w:rsidP="006C4239">
            <w:pPr>
              <w:contextualSpacing/>
              <w:jc w:val="both"/>
              <w:rPr>
                <w:rFonts w:ascii="Arial" w:eastAsia="Arial" w:hAnsi="Arial" w:cs="Arial"/>
              </w:rPr>
            </w:pPr>
            <w:r w:rsidRPr="00D51AE5">
              <w:rPr>
                <w:rFonts w:ascii="Arial" w:eastAsia="Arial" w:hAnsi="Arial" w:cs="Arial"/>
              </w:rPr>
              <w:t>If the HSC Application cannot proceed based on the final technical verification results, the interested participant may either (a) reconfigure the AOI,  (b) file a request to allow the development of multiple resources in the area; or (c) comply with Section 5.7.3 of this Chapter, as applicable.</w:t>
            </w:r>
          </w:p>
        </w:tc>
        <w:tc>
          <w:tcPr>
            <w:tcW w:w="3590" w:type="dxa"/>
          </w:tcPr>
          <w:p w14:paraId="2345CA75" w14:textId="77777777" w:rsidR="006C4239" w:rsidRPr="006A1E11" w:rsidRDefault="006C4239" w:rsidP="006A1E11">
            <w:pPr>
              <w:ind w:left="360"/>
              <w:jc w:val="both"/>
              <w:rPr>
                <w:rFonts w:eastAsia="Arial"/>
              </w:rPr>
            </w:pPr>
          </w:p>
        </w:tc>
        <w:tc>
          <w:tcPr>
            <w:tcW w:w="4267" w:type="dxa"/>
          </w:tcPr>
          <w:p w14:paraId="4B43D42D" w14:textId="77777777" w:rsidR="006C4239" w:rsidRPr="006A1E11" w:rsidRDefault="006C4239" w:rsidP="006A1E11">
            <w:pPr>
              <w:ind w:left="360"/>
              <w:jc w:val="both"/>
              <w:rPr>
                <w:rFonts w:eastAsia="Arial"/>
              </w:rPr>
            </w:pPr>
          </w:p>
        </w:tc>
      </w:tr>
      <w:tr w:rsidR="006C4239" w:rsidRPr="00D51AE5" w14:paraId="0FFAE251" w14:textId="198E8966" w:rsidTr="007639A7">
        <w:tc>
          <w:tcPr>
            <w:tcW w:w="6044" w:type="dxa"/>
          </w:tcPr>
          <w:p w14:paraId="3F4D3519" w14:textId="77777777" w:rsidR="006C4239" w:rsidRPr="00D51AE5" w:rsidRDefault="006C4239" w:rsidP="006C4239">
            <w:pPr>
              <w:contextualSpacing/>
              <w:jc w:val="both"/>
              <w:rPr>
                <w:rFonts w:ascii="Arial" w:hAnsi="Arial" w:cs="Arial"/>
              </w:rPr>
            </w:pPr>
            <w:r w:rsidRPr="00D51AE5">
              <w:rPr>
                <w:rFonts w:ascii="Arial" w:eastAsia="Arial" w:hAnsi="Arial" w:cs="Arial"/>
              </w:rPr>
              <w:t>5.7.1</w:t>
            </w:r>
            <w:r w:rsidRPr="00D51AE5">
              <w:rPr>
                <w:rFonts w:ascii="Arial" w:hAnsi="Arial" w:cs="Arial"/>
              </w:rPr>
              <w:tab/>
            </w:r>
            <w:r w:rsidRPr="00D51AE5">
              <w:rPr>
                <w:rFonts w:ascii="Arial" w:hAnsi="Arial" w:cs="Arial"/>
                <w:b/>
                <w:bCs/>
              </w:rPr>
              <w:t xml:space="preserve">Reconfigured Area of Interest. </w:t>
            </w:r>
            <w:r w:rsidRPr="00D51AE5">
              <w:rPr>
                <w:rFonts w:ascii="Arial" w:hAnsi="Arial" w:cs="Arial"/>
              </w:rPr>
              <w:t xml:space="preserve">Within ten (10) days from uploading of the final technical verification results, the interested participant and HOEMD may conduct an assessment if the AOI may be reconfigured without material adverse effect on the feasibility of the proposed hydropower project. The interested participant may reconfigure its AOI </w:t>
            </w:r>
            <w:r w:rsidRPr="00D51AE5">
              <w:rPr>
                <w:rFonts w:ascii="Arial" w:eastAsia="Arial" w:hAnsi="Arial" w:cs="Arial"/>
              </w:rPr>
              <w:t>to cover only such portion as may allow the HSC Application to proceed. After confirmation by ITMS that no portion of the reconfigured AOI falls under Sections 5.6.1, 5.6.2, 5.6.3 or 5.6.5 of this Chapter, HOEMD shall upload in the EVOSS System a Notice to Apply to the interested participant for the filing of the HSC Application.</w:t>
            </w:r>
          </w:p>
        </w:tc>
        <w:tc>
          <w:tcPr>
            <w:tcW w:w="3590" w:type="dxa"/>
          </w:tcPr>
          <w:p w14:paraId="2C545BB2" w14:textId="77777777" w:rsidR="006C4239" w:rsidRPr="006A1E11" w:rsidRDefault="006C4239" w:rsidP="006A1E11">
            <w:pPr>
              <w:ind w:left="360"/>
              <w:jc w:val="both"/>
              <w:rPr>
                <w:rFonts w:eastAsia="Arial"/>
              </w:rPr>
            </w:pPr>
          </w:p>
        </w:tc>
        <w:tc>
          <w:tcPr>
            <w:tcW w:w="4267" w:type="dxa"/>
          </w:tcPr>
          <w:p w14:paraId="0C39D41E" w14:textId="77777777" w:rsidR="006C4239" w:rsidRPr="006A1E11" w:rsidRDefault="006C4239" w:rsidP="006A1E11">
            <w:pPr>
              <w:ind w:left="360"/>
              <w:jc w:val="both"/>
              <w:rPr>
                <w:rFonts w:eastAsia="Arial"/>
              </w:rPr>
            </w:pPr>
          </w:p>
        </w:tc>
      </w:tr>
      <w:tr w:rsidR="006C4239" w:rsidRPr="00D51AE5" w14:paraId="53AC65B2" w14:textId="709B4A3B" w:rsidTr="007639A7">
        <w:tc>
          <w:tcPr>
            <w:tcW w:w="6044" w:type="dxa"/>
          </w:tcPr>
          <w:p w14:paraId="3F3AF3EB" w14:textId="77777777" w:rsidR="006C4239" w:rsidRPr="00D51AE5" w:rsidRDefault="006C4239" w:rsidP="006C4239">
            <w:pPr>
              <w:contextualSpacing/>
              <w:jc w:val="both"/>
              <w:rPr>
                <w:rFonts w:ascii="Arial" w:hAnsi="Arial" w:cs="Arial"/>
              </w:rPr>
            </w:pPr>
            <w:r w:rsidRPr="00D51AE5">
              <w:rPr>
                <w:rFonts w:ascii="Arial" w:hAnsi="Arial" w:cs="Arial"/>
              </w:rPr>
              <w:t>5.7.2</w:t>
            </w:r>
            <w:r w:rsidRPr="00D51AE5">
              <w:rPr>
                <w:rFonts w:ascii="Arial" w:hAnsi="Arial" w:cs="Arial"/>
                <w:b/>
                <w:bCs/>
              </w:rPr>
              <w:t>Multiple Resources in an Area</w:t>
            </w:r>
            <w:r w:rsidRPr="00D51AE5">
              <w:rPr>
                <w:rFonts w:ascii="Arial" w:hAnsi="Arial" w:cs="Arial"/>
              </w:rPr>
              <w:t>. If the AOI of the interested participant overlaps with the area of an existing energy service or operating contract or an application therefor as provided under Sections 5.6.2 and 5.6.3 of this Chapter, the interested participant may still pursue the HSC Application, subject to the provisions herein below set forth:</w:t>
            </w:r>
          </w:p>
        </w:tc>
        <w:tc>
          <w:tcPr>
            <w:tcW w:w="3590" w:type="dxa"/>
          </w:tcPr>
          <w:p w14:paraId="00B16273" w14:textId="77777777" w:rsidR="006C4239" w:rsidRPr="006A1E11" w:rsidRDefault="006C4239" w:rsidP="006A1E11">
            <w:pPr>
              <w:ind w:left="360"/>
              <w:jc w:val="both"/>
            </w:pPr>
          </w:p>
        </w:tc>
        <w:tc>
          <w:tcPr>
            <w:tcW w:w="4267" w:type="dxa"/>
          </w:tcPr>
          <w:p w14:paraId="107BACC0" w14:textId="77777777" w:rsidR="006C4239" w:rsidRPr="006A1E11" w:rsidRDefault="006C4239" w:rsidP="006A1E11">
            <w:pPr>
              <w:ind w:left="360"/>
              <w:jc w:val="both"/>
            </w:pPr>
          </w:p>
        </w:tc>
      </w:tr>
      <w:tr w:rsidR="006C4239" w:rsidRPr="00D51AE5" w14:paraId="225D7B35" w14:textId="68ADF4E5" w:rsidTr="007639A7">
        <w:tc>
          <w:tcPr>
            <w:tcW w:w="6044" w:type="dxa"/>
          </w:tcPr>
          <w:p w14:paraId="2B9F8928" w14:textId="77777777" w:rsidR="006C4239" w:rsidRPr="00D51AE5" w:rsidRDefault="006C4239" w:rsidP="006A1E11">
            <w:pPr>
              <w:pStyle w:val="ListParagraph"/>
              <w:numPr>
                <w:ilvl w:val="0"/>
                <w:numId w:val="15"/>
              </w:numPr>
              <w:ind w:left="1017"/>
              <w:jc w:val="both"/>
              <w:rPr>
                <w:rFonts w:eastAsia="Arial"/>
              </w:rPr>
            </w:pPr>
            <w:r w:rsidRPr="00D51AE5">
              <w:rPr>
                <w:rFonts w:eastAsia="Arial"/>
              </w:rPr>
              <w:t xml:space="preserve">The interested participant shall: </w:t>
            </w:r>
          </w:p>
        </w:tc>
        <w:tc>
          <w:tcPr>
            <w:tcW w:w="3590" w:type="dxa"/>
          </w:tcPr>
          <w:p w14:paraId="784D785A" w14:textId="77777777" w:rsidR="006C4239" w:rsidRPr="006A1E11" w:rsidRDefault="006C4239" w:rsidP="006A1E11">
            <w:pPr>
              <w:ind w:left="360"/>
              <w:jc w:val="both"/>
              <w:rPr>
                <w:rFonts w:eastAsia="Arial"/>
              </w:rPr>
            </w:pPr>
          </w:p>
        </w:tc>
        <w:tc>
          <w:tcPr>
            <w:tcW w:w="4267" w:type="dxa"/>
          </w:tcPr>
          <w:p w14:paraId="7498D971" w14:textId="77777777" w:rsidR="006C4239" w:rsidRPr="006A1E11" w:rsidRDefault="006C4239" w:rsidP="006A1E11">
            <w:pPr>
              <w:ind w:left="360"/>
              <w:jc w:val="both"/>
              <w:rPr>
                <w:rFonts w:eastAsia="Arial"/>
              </w:rPr>
            </w:pPr>
          </w:p>
        </w:tc>
      </w:tr>
      <w:tr w:rsidR="006C4239" w:rsidRPr="00D51AE5" w14:paraId="45F8A152" w14:textId="4CF1F2D0" w:rsidTr="007639A7">
        <w:tc>
          <w:tcPr>
            <w:tcW w:w="6044" w:type="dxa"/>
          </w:tcPr>
          <w:p w14:paraId="774C5227" w14:textId="77777777" w:rsidR="006C4239" w:rsidRPr="00D51AE5" w:rsidRDefault="006C4239" w:rsidP="006A1E11">
            <w:pPr>
              <w:pStyle w:val="ListParagraph"/>
              <w:numPr>
                <w:ilvl w:val="0"/>
                <w:numId w:val="16"/>
              </w:numPr>
              <w:ind w:left="1017"/>
              <w:jc w:val="both"/>
              <w:rPr>
                <w:rFonts w:eastAsia="Arial"/>
              </w:rPr>
            </w:pPr>
            <w:r w:rsidRPr="00D51AE5">
              <w:t>Explain in writing why the proposed hydropower project will not be feasible without the overlapping area, with justification on the technical viability of the project.</w:t>
            </w:r>
          </w:p>
        </w:tc>
        <w:tc>
          <w:tcPr>
            <w:tcW w:w="3590" w:type="dxa"/>
          </w:tcPr>
          <w:p w14:paraId="2AC286E8" w14:textId="77777777" w:rsidR="006C4239" w:rsidRPr="006A1E11" w:rsidRDefault="006C4239" w:rsidP="006A1E11">
            <w:pPr>
              <w:ind w:left="360"/>
              <w:jc w:val="both"/>
            </w:pPr>
          </w:p>
        </w:tc>
        <w:tc>
          <w:tcPr>
            <w:tcW w:w="4267" w:type="dxa"/>
          </w:tcPr>
          <w:p w14:paraId="78FCE668" w14:textId="77777777" w:rsidR="006C4239" w:rsidRPr="006A1E11" w:rsidRDefault="006C4239" w:rsidP="006A1E11">
            <w:pPr>
              <w:ind w:left="360"/>
              <w:jc w:val="both"/>
            </w:pPr>
          </w:p>
        </w:tc>
      </w:tr>
      <w:tr w:rsidR="006C4239" w:rsidRPr="00D51AE5" w14:paraId="4DF641DD" w14:textId="684B8805" w:rsidTr="007639A7">
        <w:tc>
          <w:tcPr>
            <w:tcW w:w="6044" w:type="dxa"/>
          </w:tcPr>
          <w:p w14:paraId="6E51AA11" w14:textId="77777777" w:rsidR="006C4239" w:rsidRPr="00D51AE5" w:rsidRDefault="006C4239" w:rsidP="006A1E11">
            <w:pPr>
              <w:pStyle w:val="ListParagraph"/>
              <w:numPr>
                <w:ilvl w:val="0"/>
                <w:numId w:val="16"/>
              </w:numPr>
              <w:ind w:left="1017"/>
              <w:jc w:val="both"/>
              <w:rPr>
                <w:rFonts w:eastAsia="Arial"/>
              </w:rPr>
            </w:pPr>
            <w:r w:rsidRPr="00D51AE5">
              <w:t>Submit a notarized acknowledgment and undertaking that the interested participant recognizes and shall continue to recognize the prior rights of the existing applicants and/or developers of other energy resources within the overlapping area; that the design of the proposed hydropower project will ensure safe and optimal development of hydropower and other energy resources in the overlapping area; and that all costs needed therefor shall be borne by the interested participant.</w:t>
            </w:r>
            <w:r w:rsidRPr="00D51AE5">
              <w:rPr>
                <w:rFonts w:eastAsia="Arial"/>
              </w:rPr>
              <w:t xml:space="preserve"> </w:t>
            </w:r>
          </w:p>
        </w:tc>
        <w:tc>
          <w:tcPr>
            <w:tcW w:w="3590" w:type="dxa"/>
          </w:tcPr>
          <w:p w14:paraId="2866570C" w14:textId="77777777" w:rsidR="006C4239" w:rsidRPr="006A1E11" w:rsidRDefault="006C4239" w:rsidP="006A1E11">
            <w:pPr>
              <w:ind w:left="360"/>
              <w:jc w:val="both"/>
            </w:pPr>
          </w:p>
        </w:tc>
        <w:tc>
          <w:tcPr>
            <w:tcW w:w="4267" w:type="dxa"/>
          </w:tcPr>
          <w:p w14:paraId="34AE124B" w14:textId="77777777" w:rsidR="006C4239" w:rsidRPr="006A1E11" w:rsidRDefault="006C4239" w:rsidP="006A1E11">
            <w:pPr>
              <w:ind w:left="360"/>
              <w:jc w:val="both"/>
            </w:pPr>
          </w:p>
        </w:tc>
      </w:tr>
      <w:tr w:rsidR="006C4239" w:rsidRPr="00D51AE5" w14:paraId="21AC9403" w14:textId="41B7F4C0" w:rsidTr="007639A7">
        <w:tc>
          <w:tcPr>
            <w:tcW w:w="6044" w:type="dxa"/>
          </w:tcPr>
          <w:p w14:paraId="486339C8" w14:textId="77777777" w:rsidR="006C4239" w:rsidRPr="00D51AE5" w:rsidRDefault="006C4239" w:rsidP="006A1E11">
            <w:pPr>
              <w:pStyle w:val="ListParagraph"/>
              <w:numPr>
                <w:ilvl w:val="0"/>
                <w:numId w:val="15"/>
              </w:numPr>
              <w:ind w:left="1017"/>
              <w:jc w:val="both"/>
              <w:rPr>
                <w:rFonts w:eastAsia="Arial"/>
              </w:rPr>
            </w:pPr>
            <w:r w:rsidRPr="00D51AE5">
              <w:rPr>
                <w:rFonts w:eastAsia="Arial"/>
              </w:rPr>
              <w:t>HOEMD shall inform the applicant or energy contractor/developer on the intent to develop the hydropower resources within the overlapping area. Copies of the interested participant’s LOI, the written explanation, and their supporting documents shall be furnished to the applicant or contractor/developer.</w:t>
            </w:r>
          </w:p>
        </w:tc>
        <w:tc>
          <w:tcPr>
            <w:tcW w:w="3590" w:type="dxa"/>
          </w:tcPr>
          <w:p w14:paraId="75A17FAC" w14:textId="77777777" w:rsidR="006C4239" w:rsidRPr="006A1E11" w:rsidRDefault="006C4239" w:rsidP="006A1E11">
            <w:pPr>
              <w:ind w:left="360"/>
              <w:jc w:val="both"/>
              <w:rPr>
                <w:rFonts w:eastAsia="Arial"/>
              </w:rPr>
            </w:pPr>
          </w:p>
        </w:tc>
        <w:tc>
          <w:tcPr>
            <w:tcW w:w="4267" w:type="dxa"/>
          </w:tcPr>
          <w:p w14:paraId="49352F82" w14:textId="77777777" w:rsidR="006C4239" w:rsidRPr="006A1E11" w:rsidRDefault="006C4239" w:rsidP="006A1E11">
            <w:pPr>
              <w:ind w:left="360"/>
              <w:jc w:val="both"/>
              <w:rPr>
                <w:rFonts w:eastAsia="Arial"/>
              </w:rPr>
            </w:pPr>
          </w:p>
        </w:tc>
      </w:tr>
      <w:tr w:rsidR="006C4239" w:rsidRPr="00D51AE5" w14:paraId="72FF8500" w14:textId="31414A67" w:rsidTr="007639A7">
        <w:tc>
          <w:tcPr>
            <w:tcW w:w="6044" w:type="dxa"/>
          </w:tcPr>
          <w:p w14:paraId="10DC6AF2" w14:textId="77777777" w:rsidR="006C4239" w:rsidRPr="00D51AE5" w:rsidRDefault="006C4239" w:rsidP="006A1E11">
            <w:pPr>
              <w:pStyle w:val="ListParagraph"/>
              <w:numPr>
                <w:ilvl w:val="0"/>
                <w:numId w:val="15"/>
              </w:numPr>
              <w:ind w:left="1017"/>
              <w:jc w:val="both"/>
              <w:rPr>
                <w:rFonts w:eastAsia="Arial"/>
              </w:rPr>
            </w:pPr>
            <w:r w:rsidRPr="00D51AE5">
              <w:rPr>
                <w:rFonts w:eastAsia="Arial"/>
              </w:rPr>
              <w:t xml:space="preserve">If no objection is received from the applicant or energy contractor/developer within the prescribed period, HOEMD shall upload </w:t>
            </w:r>
            <w:r w:rsidRPr="00D51AE5">
              <w:t>in the EVOSS System a Notice to Apply to the interested participant for the filing of the HSC Application.</w:t>
            </w:r>
          </w:p>
        </w:tc>
        <w:tc>
          <w:tcPr>
            <w:tcW w:w="3590" w:type="dxa"/>
          </w:tcPr>
          <w:p w14:paraId="4CAF8C12" w14:textId="77777777" w:rsidR="006C4239" w:rsidRPr="006A1E11" w:rsidRDefault="006C4239" w:rsidP="006A1E11">
            <w:pPr>
              <w:ind w:left="360"/>
              <w:jc w:val="both"/>
              <w:rPr>
                <w:rFonts w:eastAsia="Arial"/>
              </w:rPr>
            </w:pPr>
          </w:p>
        </w:tc>
        <w:tc>
          <w:tcPr>
            <w:tcW w:w="4267" w:type="dxa"/>
          </w:tcPr>
          <w:p w14:paraId="30D01C93" w14:textId="77777777" w:rsidR="006C4239" w:rsidRPr="006A1E11" w:rsidRDefault="006C4239" w:rsidP="006A1E11">
            <w:pPr>
              <w:ind w:left="360"/>
              <w:jc w:val="both"/>
              <w:rPr>
                <w:rFonts w:eastAsia="Arial"/>
              </w:rPr>
            </w:pPr>
          </w:p>
        </w:tc>
      </w:tr>
      <w:tr w:rsidR="006C4239" w:rsidRPr="00D51AE5" w14:paraId="7CE6756C" w14:textId="535CB2E4" w:rsidTr="007639A7">
        <w:tc>
          <w:tcPr>
            <w:tcW w:w="6044" w:type="dxa"/>
          </w:tcPr>
          <w:p w14:paraId="68A429DA" w14:textId="77777777" w:rsidR="006C4239" w:rsidRPr="00D51AE5" w:rsidRDefault="006C4239" w:rsidP="006A1E11">
            <w:pPr>
              <w:pStyle w:val="ListParagraph"/>
              <w:numPr>
                <w:ilvl w:val="0"/>
                <w:numId w:val="15"/>
              </w:numPr>
              <w:ind w:left="1017"/>
              <w:jc w:val="both"/>
              <w:rPr>
                <w:rFonts w:eastAsia="Arial"/>
              </w:rPr>
            </w:pPr>
            <w:r w:rsidRPr="00D51AE5">
              <w:rPr>
                <w:rFonts w:eastAsia="Arial"/>
              </w:rPr>
              <w:t>If the applicant or energy contractor/developer objects to the proposal, the said applicant or energy contractor/developer shall notify HOEMD thereof within ten (10) days from receipt of notice, citing the impracticability of multiple resource development as to additional costs, safety, substantial decrease in the utilization of the energy resource, and other relevant factors. Copies of the written objection shall be furnished to the DOE Division processing the application or administering the energy project. A statement that multiple resource development in the overlapping area is impracticable without technical basis shall not be considered as an objection.</w:t>
            </w:r>
          </w:p>
        </w:tc>
        <w:tc>
          <w:tcPr>
            <w:tcW w:w="3590" w:type="dxa"/>
          </w:tcPr>
          <w:p w14:paraId="692C86D3" w14:textId="77777777" w:rsidR="006C4239" w:rsidRPr="006A1E11" w:rsidRDefault="006C4239" w:rsidP="006A1E11">
            <w:pPr>
              <w:ind w:left="360"/>
              <w:jc w:val="both"/>
              <w:rPr>
                <w:rFonts w:eastAsia="Arial"/>
              </w:rPr>
            </w:pPr>
          </w:p>
        </w:tc>
        <w:tc>
          <w:tcPr>
            <w:tcW w:w="4267" w:type="dxa"/>
          </w:tcPr>
          <w:p w14:paraId="2647B88F" w14:textId="77777777" w:rsidR="006C4239" w:rsidRPr="006A1E11" w:rsidRDefault="006C4239" w:rsidP="006A1E11">
            <w:pPr>
              <w:ind w:left="360"/>
              <w:jc w:val="both"/>
              <w:rPr>
                <w:rFonts w:eastAsia="Arial"/>
              </w:rPr>
            </w:pPr>
          </w:p>
        </w:tc>
      </w:tr>
      <w:tr w:rsidR="006C4239" w:rsidRPr="00D51AE5" w14:paraId="36C732EA" w14:textId="094D7049" w:rsidTr="007639A7">
        <w:tc>
          <w:tcPr>
            <w:tcW w:w="6044" w:type="dxa"/>
          </w:tcPr>
          <w:p w14:paraId="1044B457" w14:textId="77777777" w:rsidR="006C4239" w:rsidRPr="00D51AE5" w:rsidRDefault="006C4239" w:rsidP="006A1E11">
            <w:pPr>
              <w:pStyle w:val="ListParagraph"/>
              <w:numPr>
                <w:ilvl w:val="0"/>
                <w:numId w:val="15"/>
              </w:numPr>
              <w:ind w:left="1017"/>
              <w:jc w:val="both"/>
              <w:rPr>
                <w:rFonts w:eastAsia="Arial"/>
              </w:rPr>
            </w:pPr>
            <w:r w:rsidRPr="00D51AE5">
              <w:rPr>
                <w:rFonts w:eastAsia="Arial"/>
              </w:rPr>
              <w:t>Within five (5) days from receipt of an objection, HOEMD shall furnish the interested participant with a copy thereof. Within the same period, HOEMD and the concerned DOE Division shall jointly determine whether exploration of hydropower resources within the overlapping area may be conducted without material adverse effect on the activities of the energy contractor/developer. Such determination shall consider the interested participant’s proposal, the objection and the technical bases cited therein. The evaluation shall be endorsed to the REMB Director.</w:t>
            </w:r>
          </w:p>
        </w:tc>
        <w:tc>
          <w:tcPr>
            <w:tcW w:w="3590" w:type="dxa"/>
          </w:tcPr>
          <w:p w14:paraId="3C878B23" w14:textId="77777777" w:rsidR="006C4239" w:rsidRPr="006A1E11" w:rsidRDefault="006C4239" w:rsidP="006A1E11">
            <w:pPr>
              <w:ind w:left="360"/>
              <w:jc w:val="both"/>
              <w:rPr>
                <w:rFonts w:eastAsia="Arial"/>
              </w:rPr>
            </w:pPr>
          </w:p>
        </w:tc>
        <w:tc>
          <w:tcPr>
            <w:tcW w:w="4267" w:type="dxa"/>
          </w:tcPr>
          <w:p w14:paraId="7AD96347" w14:textId="77777777" w:rsidR="006C4239" w:rsidRPr="006A1E11" w:rsidRDefault="006C4239" w:rsidP="006A1E11">
            <w:pPr>
              <w:ind w:left="360"/>
              <w:jc w:val="both"/>
              <w:rPr>
                <w:rFonts w:eastAsia="Arial"/>
              </w:rPr>
            </w:pPr>
          </w:p>
        </w:tc>
      </w:tr>
      <w:tr w:rsidR="006C4239" w:rsidRPr="00D51AE5" w14:paraId="45DDFDD0" w14:textId="2F160379" w:rsidTr="007639A7">
        <w:tc>
          <w:tcPr>
            <w:tcW w:w="6044" w:type="dxa"/>
          </w:tcPr>
          <w:p w14:paraId="4B2AD945" w14:textId="77777777" w:rsidR="006C4239" w:rsidRPr="00D51AE5" w:rsidRDefault="006C4239" w:rsidP="006A1E11">
            <w:pPr>
              <w:pStyle w:val="ListParagraph"/>
              <w:numPr>
                <w:ilvl w:val="0"/>
                <w:numId w:val="15"/>
              </w:numPr>
              <w:ind w:left="1017"/>
              <w:jc w:val="both"/>
              <w:rPr>
                <w:rFonts w:eastAsia="Arial"/>
              </w:rPr>
            </w:pPr>
            <w:r w:rsidRPr="00D51AE5">
              <w:rPr>
                <w:rFonts w:eastAsia="Arial"/>
              </w:rPr>
              <w:t>Upon receipt of the endorsement, the REMB Director may issue a Notice to Apply if s/he concurs that the exploration will not cause material injury. The contract area of the HSC so awarded shall be finally determined by REMB during the Pre-Development Stage based on the feasibility of multiple resource development in the overlapping area.</w:t>
            </w:r>
          </w:p>
        </w:tc>
        <w:tc>
          <w:tcPr>
            <w:tcW w:w="3590" w:type="dxa"/>
          </w:tcPr>
          <w:p w14:paraId="17EDC31D" w14:textId="77777777" w:rsidR="006C4239" w:rsidRPr="006A1E11" w:rsidRDefault="006C4239" w:rsidP="006A1E11">
            <w:pPr>
              <w:ind w:left="360"/>
              <w:jc w:val="both"/>
              <w:rPr>
                <w:rFonts w:eastAsia="Arial"/>
              </w:rPr>
            </w:pPr>
          </w:p>
        </w:tc>
        <w:tc>
          <w:tcPr>
            <w:tcW w:w="4267" w:type="dxa"/>
          </w:tcPr>
          <w:p w14:paraId="7A901650" w14:textId="77777777" w:rsidR="006C4239" w:rsidRPr="006A1E11" w:rsidRDefault="006C4239" w:rsidP="006A1E11">
            <w:pPr>
              <w:ind w:left="360"/>
              <w:jc w:val="both"/>
              <w:rPr>
                <w:rFonts w:eastAsia="Arial"/>
              </w:rPr>
            </w:pPr>
          </w:p>
        </w:tc>
      </w:tr>
      <w:tr w:rsidR="006C4239" w:rsidRPr="00D51AE5" w14:paraId="241F7D20" w14:textId="6E1C1853" w:rsidTr="007639A7">
        <w:tc>
          <w:tcPr>
            <w:tcW w:w="6044" w:type="dxa"/>
          </w:tcPr>
          <w:p w14:paraId="0226C350" w14:textId="77777777" w:rsidR="006C4239" w:rsidRPr="00D51AE5" w:rsidRDefault="006C4239" w:rsidP="006C4239">
            <w:pPr>
              <w:contextualSpacing/>
              <w:jc w:val="both"/>
              <w:rPr>
                <w:rFonts w:ascii="Arial" w:hAnsi="Arial" w:cs="Arial"/>
              </w:rPr>
            </w:pPr>
            <w:r w:rsidRPr="00D51AE5">
              <w:rPr>
                <w:rFonts w:ascii="Arial" w:eastAsia="Arial" w:hAnsi="Arial" w:cs="Arial"/>
              </w:rPr>
              <w:t>5.7.3</w:t>
            </w:r>
            <w:r w:rsidRPr="00D51AE5">
              <w:rPr>
                <w:rFonts w:ascii="Arial" w:hAnsi="Arial" w:cs="Arial"/>
              </w:rPr>
              <w:tab/>
            </w:r>
            <w:r w:rsidRPr="00D51AE5">
              <w:rPr>
                <w:rFonts w:ascii="Arial" w:hAnsi="Arial" w:cs="Arial"/>
                <w:b/>
                <w:bCs/>
              </w:rPr>
              <w:t xml:space="preserve">Other Areas. </w:t>
            </w:r>
            <w:r w:rsidRPr="00D51AE5">
              <w:rPr>
                <w:rFonts w:ascii="Arial" w:hAnsi="Arial" w:cs="Arial"/>
              </w:rPr>
              <w:t>If the AOI of the interested participant overlaps with the area as provided under Section 5.6.4 of this Chapter, the interested participant may still pursue the HSC Application if there is no material adverse effect on the feasibility of the proposed hydropower project after applying the provisions herein below set forth:</w:t>
            </w:r>
          </w:p>
        </w:tc>
        <w:tc>
          <w:tcPr>
            <w:tcW w:w="3590" w:type="dxa"/>
          </w:tcPr>
          <w:p w14:paraId="7F4FF803" w14:textId="77777777" w:rsidR="006C4239" w:rsidRPr="006A1E11" w:rsidRDefault="006C4239" w:rsidP="006A1E11">
            <w:pPr>
              <w:ind w:left="360"/>
              <w:jc w:val="both"/>
              <w:rPr>
                <w:rFonts w:eastAsia="Arial"/>
              </w:rPr>
            </w:pPr>
          </w:p>
        </w:tc>
        <w:tc>
          <w:tcPr>
            <w:tcW w:w="4267" w:type="dxa"/>
          </w:tcPr>
          <w:p w14:paraId="46DE0E94" w14:textId="77777777" w:rsidR="006C4239" w:rsidRPr="006A1E11" w:rsidRDefault="006C4239" w:rsidP="006A1E11">
            <w:pPr>
              <w:ind w:left="360"/>
              <w:jc w:val="both"/>
              <w:rPr>
                <w:rFonts w:eastAsia="Arial"/>
              </w:rPr>
            </w:pPr>
          </w:p>
        </w:tc>
      </w:tr>
      <w:tr w:rsidR="006C4239" w:rsidRPr="00D51AE5" w14:paraId="18F68882" w14:textId="1721F47B" w:rsidTr="007639A7">
        <w:tc>
          <w:tcPr>
            <w:tcW w:w="6044" w:type="dxa"/>
          </w:tcPr>
          <w:p w14:paraId="146F9D69" w14:textId="77777777" w:rsidR="006C4239" w:rsidRPr="00D51AE5" w:rsidRDefault="006C4239" w:rsidP="006A1E11">
            <w:pPr>
              <w:pStyle w:val="NoSpacing"/>
              <w:numPr>
                <w:ilvl w:val="0"/>
                <w:numId w:val="17"/>
              </w:numPr>
              <w:ind w:left="1017"/>
              <w:contextualSpacing/>
              <w:jc w:val="both"/>
            </w:pPr>
            <w:r w:rsidRPr="00D51AE5">
              <w:t>If the AOI overlaps with areas within strict protection zones under the ENIPAS, the interested participant shall submit a revised AOI net of the said areas.</w:t>
            </w:r>
          </w:p>
        </w:tc>
        <w:tc>
          <w:tcPr>
            <w:tcW w:w="3590" w:type="dxa"/>
          </w:tcPr>
          <w:p w14:paraId="3D7ADF8C" w14:textId="77777777" w:rsidR="006C4239" w:rsidRPr="00D51AE5" w:rsidRDefault="006C4239" w:rsidP="006A1E11">
            <w:pPr>
              <w:pStyle w:val="NoSpacing"/>
              <w:ind w:left="360"/>
              <w:contextualSpacing/>
              <w:jc w:val="both"/>
            </w:pPr>
          </w:p>
        </w:tc>
        <w:tc>
          <w:tcPr>
            <w:tcW w:w="4267" w:type="dxa"/>
          </w:tcPr>
          <w:p w14:paraId="0CACD034" w14:textId="77777777" w:rsidR="006C4239" w:rsidRPr="00D51AE5" w:rsidRDefault="006C4239" w:rsidP="006A1E11">
            <w:pPr>
              <w:pStyle w:val="NoSpacing"/>
              <w:ind w:left="360"/>
              <w:contextualSpacing/>
              <w:jc w:val="both"/>
            </w:pPr>
          </w:p>
        </w:tc>
      </w:tr>
      <w:tr w:rsidR="006C4239" w:rsidRPr="00D51AE5" w14:paraId="74A71BBB" w14:textId="24F7998B" w:rsidTr="007639A7">
        <w:tc>
          <w:tcPr>
            <w:tcW w:w="6044" w:type="dxa"/>
          </w:tcPr>
          <w:p w14:paraId="7B7939B0" w14:textId="77777777" w:rsidR="006C4239" w:rsidRPr="00D51AE5" w:rsidRDefault="006C4239" w:rsidP="006A1E11">
            <w:pPr>
              <w:pStyle w:val="NoSpacing"/>
              <w:numPr>
                <w:ilvl w:val="0"/>
                <w:numId w:val="17"/>
              </w:numPr>
              <w:ind w:left="1017"/>
              <w:contextualSpacing/>
              <w:jc w:val="both"/>
            </w:pPr>
            <w:r w:rsidRPr="00D51AE5">
              <w:t>If the AOI overlaps with areas outside strict protection zones under the ENIPAS, the REMB Director shall issue a Notice to Apply for the said AOI; Provided, that the contract area may be reduced shall be subject to the ENIPAS and its implementing rules and regulations.</w:t>
            </w:r>
          </w:p>
        </w:tc>
        <w:tc>
          <w:tcPr>
            <w:tcW w:w="3590" w:type="dxa"/>
          </w:tcPr>
          <w:p w14:paraId="076CE519" w14:textId="77777777" w:rsidR="006C4239" w:rsidRPr="00D51AE5" w:rsidRDefault="006C4239" w:rsidP="006A1E11">
            <w:pPr>
              <w:pStyle w:val="NoSpacing"/>
              <w:ind w:left="360"/>
              <w:contextualSpacing/>
              <w:jc w:val="both"/>
            </w:pPr>
          </w:p>
        </w:tc>
        <w:tc>
          <w:tcPr>
            <w:tcW w:w="4267" w:type="dxa"/>
          </w:tcPr>
          <w:p w14:paraId="49CA24FD" w14:textId="77777777" w:rsidR="006C4239" w:rsidRPr="00D51AE5" w:rsidRDefault="006C4239" w:rsidP="006A1E11">
            <w:pPr>
              <w:pStyle w:val="NoSpacing"/>
              <w:ind w:left="360"/>
              <w:contextualSpacing/>
              <w:jc w:val="both"/>
            </w:pPr>
          </w:p>
        </w:tc>
      </w:tr>
      <w:tr w:rsidR="006C4239" w:rsidRPr="00D51AE5" w14:paraId="659ACFA7" w14:textId="0382AB9C" w:rsidTr="007639A7">
        <w:tc>
          <w:tcPr>
            <w:tcW w:w="6044" w:type="dxa"/>
          </w:tcPr>
          <w:p w14:paraId="5325A0E8" w14:textId="77777777" w:rsidR="006C4239" w:rsidRPr="00D51AE5" w:rsidRDefault="006C4239" w:rsidP="006A1E11">
            <w:pPr>
              <w:pStyle w:val="NoSpacing"/>
              <w:numPr>
                <w:ilvl w:val="0"/>
                <w:numId w:val="17"/>
              </w:numPr>
              <w:ind w:left="1017"/>
              <w:contextualSpacing/>
              <w:jc w:val="both"/>
            </w:pPr>
            <w:r w:rsidRPr="00D51AE5">
              <w:t>If the AOI overlaps with ancestral domains with Certificate of Ancestral Domain Title or Claim, the REMB Director shall issue a Notice to Apply for the said AOI; Provided, that the contract area may be reduced subject to RA No. 8371 or “The Indigenous Peoples Rights Act of 1997” and its implementing rules and regulations.</w:t>
            </w:r>
          </w:p>
        </w:tc>
        <w:tc>
          <w:tcPr>
            <w:tcW w:w="3590" w:type="dxa"/>
          </w:tcPr>
          <w:p w14:paraId="076BC06E" w14:textId="77777777" w:rsidR="006C4239" w:rsidRPr="00D51AE5" w:rsidRDefault="006C4239" w:rsidP="006A1E11">
            <w:pPr>
              <w:pStyle w:val="NoSpacing"/>
              <w:ind w:left="360"/>
              <w:contextualSpacing/>
              <w:jc w:val="both"/>
            </w:pPr>
          </w:p>
        </w:tc>
        <w:tc>
          <w:tcPr>
            <w:tcW w:w="4267" w:type="dxa"/>
          </w:tcPr>
          <w:p w14:paraId="46FE2164" w14:textId="77777777" w:rsidR="006C4239" w:rsidRPr="00D51AE5" w:rsidRDefault="006C4239" w:rsidP="006A1E11">
            <w:pPr>
              <w:pStyle w:val="NoSpacing"/>
              <w:ind w:left="360"/>
              <w:contextualSpacing/>
              <w:jc w:val="both"/>
            </w:pPr>
          </w:p>
        </w:tc>
      </w:tr>
      <w:tr w:rsidR="006C4239" w:rsidRPr="00D51AE5" w14:paraId="208FBB39" w14:textId="1969810F" w:rsidTr="007639A7">
        <w:tc>
          <w:tcPr>
            <w:tcW w:w="6044" w:type="dxa"/>
          </w:tcPr>
          <w:p w14:paraId="620979BA" w14:textId="77777777" w:rsidR="006C4239" w:rsidRPr="00D51AE5" w:rsidRDefault="006C4239" w:rsidP="006A1E11">
            <w:pPr>
              <w:pStyle w:val="NoSpacing"/>
              <w:numPr>
                <w:ilvl w:val="0"/>
                <w:numId w:val="17"/>
              </w:numPr>
              <w:ind w:left="1017"/>
              <w:contextualSpacing/>
              <w:jc w:val="both"/>
            </w:pPr>
            <w:r w:rsidRPr="00D51AE5">
              <w:t>If the AOI overlaps with areas with Tenurial Instruments from other government agencies, the REMB Director shall issue a Notice to Apply for the said AOI; Provided, that the contract area may be reduced subject to the relevant rules and regulations of the concerned government agency.</w:t>
            </w:r>
          </w:p>
        </w:tc>
        <w:tc>
          <w:tcPr>
            <w:tcW w:w="3590" w:type="dxa"/>
          </w:tcPr>
          <w:p w14:paraId="5A784A35" w14:textId="77777777" w:rsidR="006C4239" w:rsidRPr="00D51AE5" w:rsidRDefault="006C4239" w:rsidP="006A1E11">
            <w:pPr>
              <w:pStyle w:val="NoSpacing"/>
              <w:ind w:left="360"/>
              <w:contextualSpacing/>
              <w:jc w:val="both"/>
            </w:pPr>
          </w:p>
        </w:tc>
        <w:tc>
          <w:tcPr>
            <w:tcW w:w="4267" w:type="dxa"/>
          </w:tcPr>
          <w:p w14:paraId="7F88E2F4" w14:textId="77777777" w:rsidR="006C4239" w:rsidRPr="00D51AE5" w:rsidRDefault="006C4239" w:rsidP="006A1E11">
            <w:pPr>
              <w:pStyle w:val="NoSpacing"/>
              <w:ind w:left="360"/>
              <w:contextualSpacing/>
              <w:jc w:val="both"/>
            </w:pPr>
          </w:p>
        </w:tc>
      </w:tr>
      <w:tr w:rsidR="006C4239" w:rsidRPr="00D51AE5" w14:paraId="4BDDCD85" w14:textId="5BA75B34" w:rsidTr="007639A7">
        <w:tc>
          <w:tcPr>
            <w:tcW w:w="6044" w:type="dxa"/>
          </w:tcPr>
          <w:p w14:paraId="19C23E54" w14:textId="77777777" w:rsidR="006C4239" w:rsidRPr="00D51AE5" w:rsidRDefault="006C4239" w:rsidP="006A1E11">
            <w:pPr>
              <w:pStyle w:val="NoSpacing"/>
              <w:numPr>
                <w:ilvl w:val="0"/>
                <w:numId w:val="17"/>
              </w:numPr>
              <w:ind w:left="1017"/>
              <w:contextualSpacing/>
              <w:jc w:val="both"/>
            </w:pPr>
            <w:r w:rsidRPr="00D51AE5">
              <w:t>If the AOI overlaps with areas prohibited, reserved, or used for national defense, navigation, irrigation, and other development projects, and other areas, the REMB Director shall issue a Notice to Apply for the said AOI; Provided, that the contract area may be reduced subject to the relevant rules and regulations of the concerned government agency.</w:t>
            </w:r>
          </w:p>
        </w:tc>
        <w:tc>
          <w:tcPr>
            <w:tcW w:w="3590" w:type="dxa"/>
          </w:tcPr>
          <w:p w14:paraId="36C07238" w14:textId="77777777" w:rsidR="006C4239" w:rsidRPr="00D51AE5" w:rsidRDefault="006C4239" w:rsidP="006A1E11">
            <w:pPr>
              <w:pStyle w:val="NoSpacing"/>
              <w:ind w:left="360"/>
              <w:contextualSpacing/>
              <w:jc w:val="both"/>
            </w:pPr>
          </w:p>
        </w:tc>
        <w:tc>
          <w:tcPr>
            <w:tcW w:w="4267" w:type="dxa"/>
          </w:tcPr>
          <w:p w14:paraId="3E62D154" w14:textId="77777777" w:rsidR="006C4239" w:rsidRPr="00D51AE5" w:rsidRDefault="006C4239" w:rsidP="006A1E11">
            <w:pPr>
              <w:pStyle w:val="NoSpacing"/>
              <w:ind w:left="360"/>
              <w:contextualSpacing/>
              <w:jc w:val="both"/>
            </w:pPr>
          </w:p>
        </w:tc>
      </w:tr>
      <w:tr w:rsidR="006C4239" w:rsidRPr="00D51AE5" w14:paraId="431E8BE3" w14:textId="0F2F7160" w:rsidTr="007639A7">
        <w:tc>
          <w:tcPr>
            <w:tcW w:w="6044" w:type="dxa"/>
          </w:tcPr>
          <w:p w14:paraId="058464E0" w14:textId="77777777" w:rsidR="006C4239" w:rsidRPr="00D51AE5" w:rsidRDefault="006C4239" w:rsidP="006C4239">
            <w:pPr>
              <w:pStyle w:val="NoSpacing"/>
              <w:contextualSpacing/>
              <w:jc w:val="both"/>
              <w:rPr>
                <w:b/>
                <w:bCs/>
                <w:i/>
                <w:iCs/>
                <w:spacing w:val="-2"/>
              </w:rPr>
            </w:pPr>
            <w:r w:rsidRPr="00D51AE5">
              <w:rPr>
                <w:b/>
                <w:bCs/>
                <w:i/>
                <w:iCs/>
              </w:rPr>
              <w:t>Part</w:t>
            </w:r>
            <w:r w:rsidRPr="00D51AE5">
              <w:rPr>
                <w:b/>
                <w:bCs/>
                <w:i/>
                <w:iCs/>
                <w:spacing w:val="-2"/>
              </w:rPr>
              <w:t xml:space="preserve"> </w:t>
            </w:r>
            <w:r w:rsidRPr="00D51AE5">
              <w:rPr>
                <w:b/>
                <w:bCs/>
                <w:i/>
                <w:iCs/>
              </w:rPr>
              <w:t>3.</w:t>
            </w:r>
            <w:r w:rsidRPr="00D51AE5">
              <w:rPr>
                <w:b/>
                <w:bCs/>
                <w:i/>
                <w:iCs/>
                <w:spacing w:val="-2"/>
              </w:rPr>
              <w:t xml:space="preserve"> </w:t>
            </w:r>
            <w:r w:rsidRPr="00D51AE5">
              <w:rPr>
                <w:b/>
                <w:bCs/>
                <w:i/>
                <w:iCs/>
              </w:rPr>
              <w:t>Filing</w:t>
            </w:r>
            <w:r w:rsidRPr="00D51AE5">
              <w:rPr>
                <w:b/>
                <w:bCs/>
                <w:i/>
                <w:iCs/>
                <w:spacing w:val="-1"/>
              </w:rPr>
              <w:t xml:space="preserve"> </w:t>
            </w:r>
            <w:r w:rsidRPr="00D51AE5">
              <w:rPr>
                <w:b/>
                <w:bCs/>
                <w:i/>
                <w:iCs/>
              </w:rPr>
              <w:t>and</w:t>
            </w:r>
            <w:r w:rsidRPr="00D51AE5">
              <w:rPr>
                <w:b/>
                <w:bCs/>
                <w:i/>
                <w:iCs/>
                <w:spacing w:val="-1"/>
              </w:rPr>
              <w:t xml:space="preserve"> </w:t>
            </w:r>
            <w:r w:rsidRPr="00D51AE5">
              <w:rPr>
                <w:b/>
                <w:bCs/>
                <w:i/>
                <w:iCs/>
              </w:rPr>
              <w:t>Evaluation</w:t>
            </w:r>
            <w:r w:rsidRPr="00D51AE5">
              <w:rPr>
                <w:b/>
                <w:bCs/>
                <w:i/>
                <w:iCs/>
                <w:spacing w:val="-1"/>
              </w:rPr>
              <w:t xml:space="preserve"> </w:t>
            </w:r>
            <w:r w:rsidRPr="00D51AE5">
              <w:rPr>
                <w:b/>
                <w:bCs/>
                <w:i/>
                <w:iCs/>
              </w:rPr>
              <w:t>of</w:t>
            </w:r>
            <w:r w:rsidRPr="00D51AE5">
              <w:rPr>
                <w:b/>
                <w:bCs/>
                <w:i/>
                <w:iCs/>
                <w:spacing w:val="-6"/>
              </w:rPr>
              <w:t xml:space="preserve"> </w:t>
            </w:r>
            <w:r w:rsidRPr="00D51AE5">
              <w:rPr>
                <w:b/>
                <w:bCs/>
                <w:i/>
                <w:iCs/>
              </w:rPr>
              <w:t>Hydropower Service Contract</w:t>
            </w:r>
            <w:r w:rsidRPr="00D51AE5">
              <w:rPr>
                <w:b/>
                <w:bCs/>
                <w:i/>
                <w:iCs/>
                <w:spacing w:val="-6"/>
              </w:rPr>
              <w:t xml:space="preserve"> </w:t>
            </w:r>
            <w:r w:rsidRPr="00D51AE5">
              <w:rPr>
                <w:b/>
                <w:bCs/>
                <w:i/>
                <w:iCs/>
                <w:spacing w:val="-2"/>
              </w:rPr>
              <w:t>Applications</w:t>
            </w:r>
          </w:p>
        </w:tc>
        <w:tc>
          <w:tcPr>
            <w:tcW w:w="3590" w:type="dxa"/>
          </w:tcPr>
          <w:p w14:paraId="045D8650" w14:textId="77777777" w:rsidR="006C4239" w:rsidRPr="00D51AE5" w:rsidRDefault="006C4239" w:rsidP="006A1E11">
            <w:pPr>
              <w:pStyle w:val="NoSpacing"/>
              <w:ind w:left="360"/>
              <w:contextualSpacing/>
              <w:jc w:val="both"/>
              <w:rPr>
                <w:b/>
                <w:bCs/>
                <w:i/>
                <w:iCs/>
              </w:rPr>
            </w:pPr>
          </w:p>
        </w:tc>
        <w:tc>
          <w:tcPr>
            <w:tcW w:w="4267" w:type="dxa"/>
          </w:tcPr>
          <w:p w14:paraId="2A1D272C" w14:textId="77777777" w:rsidR="006C4239" w:rsidRPr="00D51AE5" w:rsidRDefault="006C4239" w:rsidP="006A1E11">
            <w:pPr>
              <w:pStyle w:val="NoSpacing"/>
              <w:ind w:left="360"/>
              <w:contextualSpacing/>
              <w:jc w:val="both"/>
              <w:rPr>
                <w:b/>
                <w:bCs/>
                <w:i/>
                <w:iCs/>
              </w:rPr>
            </w:pPr>
          </w:p>
        </w:tc>
      </w:tr>
      <w:tr w:rsidR="006C4239" w:rsidRPr="00D51AE5" w14:paraId="395D43D7" w14:textId="33E920A6" w:rsidTr="007639A7">
        <w:tc>
          <w:tcPr>
            <w:tcW w:w="6044" w:type="dxa"/>
          </w:tcPr>
          <w:p w14:paraId="064C54C9" w14:textId="77777777" w:rsidR="006C4239" w:rsidRPr="00D51AE5" w:rsidRDefault="006C4239" w:rsidP="006C4239">
            <w:pPr>
              <w:pStyle w:val="NoSpacing"/>
              <w:numPr>
                <w:ilvl w:val="1"/>
                <w:numId w:val="12"/>
              </w:numPr>
              <w:ind w:left="709"/>
              <w:contextualSpacing/>
              <w:jc w:val="both"/>
            </w:pPr>
            <w:r w:rsidRPr="00D51AE5">
              <w:rPr>
                <w:b/>
                <w:bCs/>
              </w:rPr>
              <w:t xml:space="preserve">Receipt of Hydropower Service Contract Applications. </w:t>
            </w:r>
            <w:r w:rsidRPr="00D51AE5">
              <w:t>After the Notice to Apply is uploaded in the EVOSS System, the interested participant may file its HSC Application by complying with the procedures and requirements, as follows:</w:t>
            </w:r>
          </w:p>
        </w:tc>
        <w:tc>
          <w:tcPr>
            <w:tcW w:w="3590" w:type="dxa"/>
          </w:tcPr>
          <w:p w14:paraId="0D6D1246" w14:textId="77777777" w:rsidR="006C4239" w:rsidRPr="00D51AE5" w:rsidRDefault="006C4239" w:rsidP="006A1E11">
            <w:pPr>
              <w:pStyle w:val="NoSpacing"/>
              <w:ind w:left="1080"/>
              <w:contextualSpacing/>
              <w:jc w:val="both"/>
              <w:rPr>
                <w:b/>
                <w:bCs/>
              </w:rPr>
            </w:pPr>
          </w:p>
        </w:tc>
        <w:tc>
          <w:tcPr>
            <w:tcW w:w="4267" w:type="dxa"/>
          </w:tcPr>
          <w:p w14:paraId="11965820" w14:textId="77777777" w:rsidR="006C4239" w:rsidRPr="00D51AE5" w:rsidRDefault="006C4239" w:rsidP="006A1E11">
            <w:pPr>
              <w:pStyle w:val="NoSpacing"/>
              <w:ind w:left="1080"/>
              <w:contextualSpacing/>
              <w:jc w:val="both"/>
              <w:rPr>
                <w:b/>
                <w:bCs/>
              </w:rPr>
            </w:pPr>
          </w:p>
        </w:tc>
      </w:tr>
      <w:tr w:rsidR="006C4239" w:rsidRPr="00D51AE5" w14:paraId="08438A81" w14:textId="493C10B8" w:rsidTr="007639A7">
        <w:tc>
          <w:tcPr>
            <w:tcW w:w="6044" w:type="dxa"/>
          </w:tcPr>
          <w:p w14:paraId="6A062197" w14:textId="77777777" w:rsidR="006C4239" w:rsidRPr="00D51AE5" w:rsidRDefault="006C4239" w:rsidP="006C4239">
            <w:pPr>
              <w:pStyle w:val="ListParagraph"/>
              <w:numPr>
                <w:ilvl w:val="2"/>
                <w:numId w:val="18"/>
              </w:numPr>
              <w:ind w:left="1985" w:hanging="567"/>
              <w:jc w:val="both"/>
              <w:rPr>
                <w:rFonts w:eastAsia="Arial"/>
              </w:rPr>
            </w:pPr>
            <w:r w:rsidRPr="00D51AE5">
              <w:t xml:space="preserve">The HSC Applicant shall submit through the EVOSS System </w:t>
            </w:r>
            <w:r w:rsidRPr="00D51AE5">
              <w:rPr>
                <w:rFonts w:eastAsia="Arial"/>
              </w:rPr>
              <w:t>the complete set of documentary requirements based on the Checklist of Requirements (Annex I).</w:t>
            </w:r>
          </w:p>
        </w:tc>
        <w:tc>
          <w:tcPr>
            <w:tcW w:w="3590" w:type="dxa"/>
          </w:tcPr>
          <w:p w14:paraId="0FBF031A" w14:textId="77777777" w:rsidR="006C4239" w:rsidRPr="006A1E11" w:rsidRDefault="006C4239" w:rsidP="006A1E11">
            <w:pPr>
              <w:ind w:left="1980"/>
              <w:jc w:val="both"/>
            </w:pPr>
          </w:p>
        </w:tc>
        <w:tc>
          <w:tcPr>
            <w:tcW w:w="4267" w:type="dxa"/>
          </w:tcPr>
          <w:p w14:paraId="205A4886" w14:textId="77777777" w:rsidR="006C4239" w:rsidRPr="006A1E11" w:rsidRDefault="006C4239" w:rsidP="006A1E11">
            <w:pPr>
              <w:ind w:left="1980"/>
              <w:jc w:val="both"/>
            </w:pPr>
          </w:p>
        </w:tc>
      </w:tr>
      <w:tr w:rsidR="006C4239" w:rsidRPr="00D51AE5" w14:paraId="0384CEA4" w14:textId="0C3DE2B1" w:rsidTr="007639A7">
        <w:tc>
          <w:tcPr>
            <w:tcW w:w="6044" w:type="dxa"/>
          </w:tcPr>
          <w:p w14:paraId="708A44F8" w14:textId="77777777" w:rsidR="006C4239" w:rsidRPr="00D51AE5" w:rsidRDefault="006C4239" w:rsidP="006C4239">
            <w:pPr>
              <w:pStyle w:val="ListParagraph"/>
              <w:numPr>
                <w:ilvl w:val="2"/>
                <w:numId w:val="18"/>
              </w:numPr>
              <w:ind w:left="1985" w:hanging="567"/>
              <w:jc w:val="both"/>
              <w:rPr>
                <w:rFonts w:eastAsia="Arial"/>
              </w:rPr>
            </w:pPr>
            <w:r w:rsidRPr="00D51AE5">
              <w:rPr>
                <w:rFonts w:eastAsia="Arial"/>
              </w:rPr>
              <w:t>HOEMD shall check the completeness and consistency of the submission and ITMS shall validate the area applied for the hydropower project within three (3) days.</w:t>
            </w:r>
          </w:p>
        </w:tc>
        <w:tc>
          <w:tcPr>
            <w:tcW w:w="3590" w:type="dxa"/>
          </w:tcPr>
          <w:p w14:paraId="778A2CB1" w14:textId="77777777" w:rsidR="006C4239" w:rsidRPr="006A1E11" w:rsidRDefault="006C4239" w:rsidP="006A1E11">
            <w:pPr>
              <w:ind w:left="1980"/>
              <w:jc w:val="both"/>
              <w:rPr>
                <w:rFonts w:eastAsia="Arial"/>
              </w:rPr>
            </w:pPr>
          </w:p>
        </w:tc>
        <w:tc>
          <w:tcPr>
            <w:tcW w:w="4267" w:type="dxa"/>
          </w:tcPr>
          <w:p w14:paraId="3D2E4A69" w14:textId="77777777" w:rsidR="006C4239" w:rsidRPr="006A1E11" w:rsidRDefault="006C4239" w:rsidP="006A1E11">
            <w:pPr>
              <w:ind w:left="1980"/>
              <w:jc w:val="both"/>
              <w:rPr>
                <w:rFonts w:eastAsia="Arial"/>
              </w:rPr>
            </w:pPr>
          </w:p>
        </w:tc>
      </w:tr>
      <w:tr w:rsidR="006C4239" w:rsidRPr="00D51AE5" w14:paraId="22072B09" w14:textId="22FFB9FF" w:rsidTr="007639A7">
        <w:tc>
          <w:tcPr>
            <w:tcW w:w="6044" w:type="dxa"/>
          </w:tcPr>
          <w:p w14:paraId="29544C7D" w14:textId="77777777" w:rsidR="006C4239" w:rsidRPr="00D51AE5" w:rsidRDefault="006C4239" w:rsidP="006C4239">
            <w:pPr>
              <w:pStyle w:val="ListParagraph"/>
              <w:numPr>
                <w:ilvl w:val="2"/>
                <w:numId w:val="18"/>
              </w:numPr>
              <w:ind w:left="1985" w:hanging="567"/>
              <w:jc w:val="both"/>
              <w:rPr>
                <w:rFonts w:eastAsia="Arial"/>
              </w:rPr>
            </w:pPr>
            <w:r w:rsidRPr="00D51AE5">
              <w:rPr>
                <w:rFonts w:eastAsia="Arial"/>
              </w:rPr>
              <w:t xml:space="preserve">If the submission is complete, HOEMD shall upload a copy of the order of payment for the application and processing fees. </w:t>
            </w:r>
            <w:r w:rsidRPr="00D51AE5">
              <w:t xml:space="preserve">The </w:t>
            </w:r>
            <w:r w:rsidRPr="00D51AE5">
              <w:rPr>
                <w:rFonts w:eastAsia="Arial"/>
              </w:rPr>
              <w:t>EVOSS System shall notify the HSC Applicant through a system-generated email to pay the application and processing fees within five (5) days. Failure to do so will result in the abandonment of the application.</w:t>
            </w:r>
          </w:p>
        </w:tc>
        <w:tc>
          <w:tcPr>
            <w:tcW w:w="3590" w:type="dxa"/>
          </w:tcPr>
          <w:p w14:paraId="3FB290AE" w14:textId="77777777" w:rsidR="006C4239" w:rsidRPr="006A1E11" w:rsidRDefault="006C4239" w:rsidP="006A1E11">
            <w:pPr>
              <w:ind w:left="1980"/>
              <w:jc w:val="both"/>
              <w:rPr>
                <w:rFonts w:eastAsia="Arial"/>
              </w:rPr>
            </w:pPr>
          </w:p>
        </w:tc>
        <w:tc>
          <w:tcPr>
            <w:tcW w:w="4267" w:type="dxa"/>
          </w:tcPr>
          <w:p w14:paraId="478F3225" w14:textId="77777777" w:rsidR="006C4239" w:rsidRPr="006A1E11" w:rsidRDefault="006C4239" w:rsidP="006A1E11">
            <w:pPr>
              <w:ind w:left="1980"/>
              <w:jc w:val="both"/>
              <w:rPr>
                <w:rFonts w:eastAsia="Arial"/>
              </w:rPr>
            </w:pPr>
          </w:p>
        </w:tc>
      </w:tr>
      <w:tr w:rsidR="006C4239" w:rsidRPr="00D51AE5" w14:paraId="29208773" w14:textId="10554042" w:rsidTr="007639A7">
        <w:tc>
          <w:tcPr>
            <w:tcW w:w="6044" w:type="dxa"/>
          </w:tcPr>
          <w:p w14:paraId="4405AF3D" w14:textId="77777777" w:rsidR="006C4239" w:rsidRPr="00D51AE5" w:rsidRDefault="006C4239" w:rsidP="006C4239">
            <w:pPr>
              <w:pStyle w:val="ListParagraph"/>
              <w:numPr>
                <w:ilvl w:val="2"/>
                <w:numId w:val="18"/>
              </w:numPr>
              <w:ind w:left="1985" w:hanging="567"/>
              <w:jc w:val="both"/>
              <w:rPr>
                <w:rFonts w:eastAsia="Arial"/>
              </w:rPr>
            </w:pPr>
            <w:r w:rsidRPr="00D51AE5">
              <w:rPr>
                <w:rFonts w:eastAsia="Arial"/>
              </w:rPr>
              <w:t>The EVOSS System shall notify LS, FS and ITMS of the complete submission.</w:t>
            </w:r>
          </w:p>
        </w:tc>
        <w:tc>
          <w:tcPr>
            <w:tcW w:w="3590" w:type="dxa"/>
          </w:tcPr>
          <w:p w14:paraId="09177F65" w14:textId="77777777" w:rsidR="006C4239" w:rsidRPr="006A1E11" w:rsidRDefault="006C4239" w:rsidP="006A1E11">
            <w:pPr>
              <w:ind w:left="1980"/>
              <w:jc w:val="both"/>
              <w:rPr>
                <w:rFonts w:eastAsia="Arial"/>
              </w:rPr>
            </w:pPr>
          </w:p>
        </w:tc>
        <w:tc>
          <w:tcPr>
            <w:tcW w:w="4267" w:type="dxa"/>
          </w:tcPr>
          <w:p w14:paraId="318ECE50" w14:textId="77777777" w:rsidR="006C4239" w:rsidRPr="006A1E11" w:rsidRDefault="006C4239" w:rsidP="006A1E11">
            <w:pPr>
              <w:ind w:left="1980"/>
              <w:jc w:val="both"/>
              <w:rPr>
                <w:rFonts w:eastAsia="Arial"/>
              </w:rPr>
            </w:pPr>
          </w:p>
        </w:tc>
      </w:tr>
      <w:tr w:rsidR="006C4239" w:rsidRPr="00D51AE5" w14:paraId="5F804433" w14:textId="07AC3D4E" w:rsidTr="007639A7">
        <w:tc>
          <w:tcPr>
            <w:tcW w:w="6044" w:type="dxa"/>
          </w:tcPr>
          <w:p w14:paraId="7C72E9CC" w14:textId="77777777" w:rsidR="006C4239" w:rsidRPr="00D51AE5" w:rsidRDefault="006C4239" w:rsidP="006C4239">
            <w:pPr>
              <w:pStyle w:val="NoSpacing"/>
              <w:numPr>
                <w:ilvl w:val="1"/>
                <w:numId w:val="12"/>
              </w:numPr>
              <w:ind w:left="993"/>
              <w:contextualSpacing/>
              <w:jc w:val="both"/>
            </w:pPr>
            <w:r w:rsidRPr="00D51AE5">
              <w:rPr>
                <w:b/>
                <w:bCs/>
              </w:rPr>
              <w:t>Evaluation of Hydropower Service Contract Applications.</w:t>
            </w:r>
          </w:p>
        </w:tc>
        <w:tc>
          <w:tcPr>
            <w:tcW w:w="3590" w:type="dxa"/>
          </w:tcPr>
          <w:p w14:paraId="6875E603" w14:textId="77777777" w:rsidR="006C4239" w:rsidRPr="00D51AE5" w:rsidRDefault="006C4239" w:rsidP="006A1E11">
            <w:pPr>
              <w:pStyle w:val="NoSpacing"/>
              <w:ind w:left="1080"/>
              <w:contextualSpacing/>
              <w:jc w:val="both"/>
              <w:rPr>
                <w:b/>
                <w:bCs/>
              </w:rPr>
            </w:pPr>
          </w:p>
        </w:tc>
        <w:tc>
          <w:tcPr>
            <w:tcW w:w="4267" w:type="dxa"/>
          </w:tcPr>
          <w:p w14:paraId="75B8A10A" w14:textId="77777777" w:rsidR="006C4239" w:rsidRPr="00D51AE5" w:rsidRDefault="006C4239" w:rsidP="006A1E11">
            <w:pPr>
              <w:pStyle w:val="NoSpacing"/>
              <w:ind w:left="1080"/>
              <w:contextualSpacing/>
              <w:jc w:val="both"/>
              <w:rPr>
                <w:b/>
                <w:bCs/>
              </w:rPr>
            </w:pPr>
          </w:p>
        </w:tc>
      </w:tr>
      <w:tr w:rsidR="006C4239" w:rsidRPr="00D51AE5" w14:paraId="379FAAAE" w14:textId="5EAEABDA" w:rsidTr="007639A7">
        <w:tc>
          <w:tcPr>
            <w:tcW w:w="6044" w:type="dxa"/>
          </w:tcPr>
          <w:p w14:paraId="5B611CEE" w14:textId="77777777" w:rsidR="006C4239" w:rsidRPr="00D51AE5" w:rsidRDefault="006C4239" w:rsidP="006C4239">
            <w:pPr>
              <w:pStyle w:val="ListParagraph"/>
              <w:numPr>
                <w:ilvl w:val="2"/>
                <w:numId w:val="19"/>
              </w:numPr>
              <w:ind w:left="1985" w:hanging="567"/>
              <w:jc w:val="both"/>
            </w:pPr>
            <w:r w:rsidRPr="00D51AE5">
              <w:t>After the payment of the processing fee, HOEMD, LS, and FS shall conduct the simultaneous technical, legal, and financial evaluations within five (5) days from uploading of the proof of payment of application and processing fees in the EVOSS System.</w:t>
            </w:r>
          </w:p>
        </w:tc>
        <w:tc>
          <w:tcPr>
            <w:tcW w:w="3590" w:type="dxa"/>
          </w:tcPr>
          <w:p w14:paraId="2E2AF8F2" w14:textId="77777777" w:rsidR="006C4239" w:rsidRPr="006A1E11" w:rsidRDefault="006C4239" w:rsidP="006A1E11">
            <w:pPr>
              <w:ind w:left="1980"/>
              <w:jc w:val="both"/>
            </w:pPr>
          </w:p>
        </w:tc>
        <w:tc>
          <w:tcPr>
            <w:tcW w:w="4267" w:type="dxa"/>
          </w:tcPr>
          <w:p w14:paraId="6E03B32B" w14:textId="77777777" w:rsidR="006C4239" w:rsidRPr="006A1E11" w:rsidRDefault="006C4239" w:rsidP="006A1E11">
            <w:pPr>
              <w:ind w:left="1980"/>
              <w:jc w:val="both"/>
            </w:pPr>
          </w:p>
        </w:tc>
      </w:tr>
      <w:tr w:rsidR="006C4239" w:rsidRPr="00D51AE5" w14:paraId="40A31FE3" w14:textId="3652877B" w:rsidTr="007639A7">
        <w:tc>
          <w:tcPr>
            <w:tcW w:w="6044" w:type="dxa"/>
          </w:tcPr>
          <w:p w14:paraId="222355E6" w14:textId="77777777" w:rsidR="006C4239" w:rsidRPr="00D51AE5" w:rsidRDefault="006C4239" w:rsidP="006C4239">
            <w:pPr>
              <w:pStyle w:val="ListParagraph"/>
              <w:numPr>
                <w:ilvl w:val="2"/>
                <w:numId w:val="19"/>
              </w:numPr>
              <w:ind w:left="1985" w:hanging="567"/>
              <w:jc w:val="both"/>
            </w:pPr>
            <w:r w:rsidRPr="00D51AE5">
              <w:t xml:space="preserve">Preference shall be given to proposed hydropower projects </w:t>
            </w:r>
            <w:r w:rsidRPr="00D51AE5">
              <w:rPr>
                <w:rFonts w:eastAsia="Arial"/>
              </w:rPr>
              <w:t>that are situated in close proximity to existing and available transmission facilities. Alternatively, preference may also be given to HSC Applicants with a proposal for the construction of the necessary transmission facilities.</w:t>
            </w:r>
          </w:p>
        </w:tc>
        <w:tc>
          <w:tcPr>
            <w:tcW w:w="3590" w:type="dxa"/>
          </w:tcPr>
          <w:p w14:paraId="76104B62" w14:textId="77777777" w:rsidR="006C4239" w:rsidRPr="006A1E11" w:rsidRDefault="006C4239" w:rsidP="006A1E11">
            <w:pPr>
              <w:ind w:left="1980"/>
              <w:jc w:val="both"/>
            </w:pPr>
          </w:p>
        </w:tc>
        <w:tc>
          <w:tcPr>
            <w:tcW w:w="4267" w:type="dxa"/>
          </w:tcPr>
          <w:p w14:paraId="17245433" w14:textId="77777777" w:rsidR="006C4239" w:rsidRPr="006A1E11" w:rsidRDefault="006C4239" w:rsidP="006A1E11">
            <w:pPr>
              <w:ind w:left="1980"/>
              <w:jc w:val="both"/>
            </w:pPr>
          </w:p>
        </w:tc>
      </w:tr>
      <w:tr w:rsidR="006C4239" w:rsidRPr="00D51AE5" w14:paraId="20C74A04" w14:textId="523E75B5" w:rsidTr="007639A7">
        <w:tc>
          <w:tcPr>
            <w:tcW w:w="6044" w:type="dxa"/>
          </w:tcPr>
          <w:p w14:paraId="2F59BD7E" w14:textId="77777777" w:rsidR="006C4239" w:rsidRPr="00D51AE5" w:rsidRDefault="006C4239" w:rsidP="006C4239">
            <w:pPr>
              <w:pStyle w:val="ListParagraph"/>
              <w:numPr>
                <w:ilvl w:val="2"/>
                <w:numId w:val="19"/>
              </w:numPr>
              <w:ind w:left="1985" w:hanging="567"/>
              <w:jc w:val="both"/>
            </w:pPr>
            <w:r w:rsidRPr="00D51AE5">
              <w:t>HOEMD shall consolidate all the evaluation results and proceed with the processing:</w:t>
            </w:r>
          </w:p>
        </w:tc>
        <w:tc>
          <w:tcPr>
            <w:tcW w:w="3590" w:type="dxa"/>
          </w:tcPr>
          <w:p w14:paraId="5E8CFA18" w14:textId="77777777" w:rsidR="006C4239" w:rsidRPr="006A1E11" w:rsidRDefault="006C4239" w:rsidP="006A1E11">
            <w:pPr>
              <w:ind w:left="1980"/>
              <w:jc w:val="both"/>
            </w:pPr>
          </w:p>
        </w:tc>
        <w:tc>
          <w:tcPr>
            <w:tcW w:w="4267" w:type="dxa"/>
          </w:tcPr>
          <w:p w14:paraId="41366FF4" w14:textId="77777777" w:rsidR="006C4239" w:rsidRPr="006A1E11" w:rsidRDefault="006C4239" w:rsidP="006A1E11">
            <w:pPr>
              <w:ind w:left="1980"/>
              <w:jc w:val="both"/>
            </w:pPr>
          </w:p>
        </w:tc>
      </w:tr>
      <w:tr w:rsidR="006C4239" w:rsidRPr="00D51AE5" w14:paraId="05ADF5F5" w14:textId="080090F7" w:rsidTr="007639A7">
        <w:tc>
          <w:tcPr>
            <w:tcW w:w="6044" w:type="dxa"/>
          </w:tcPr>
          <w:p w14:paraId="7740A2AE" w14:textId="77777777" w:rsidR="006C4239" w:rsidRPr="00D51AE5" w:rsidRDefault="006C4239" w:rsidP="00454C64">
            <w:pPr>
              <w:pStyle w:val="ListParagraph"/>
              <w:numPr>
                <w:ilvl w:val="0"/>
                <w:numId w:val="20"/>
              </w:numPr>
              <w:ind w:left="2435"/>
              <w:jc w:val="both"/>
              <w:rPr>
                <w:rFonts w:eastAsia="Arial"/>
              </w:rPr>
            </w:pPr>
            <w:r w:rsidRPr="00D51AE5">
              <w:rPr>
                <w:rFonts w:eastAsia="Arial"/>
              </w:rPr>
              <w:t xml:space="preserve">If the HSC Application passes the evaluations, HOEMD shall, within two (2) days from its receipt of the evaluation documents, prepare REMB’s memorandum for the Secretary endorsing the award of the HSC Application; the draft Certificate of Authority; and the draft HSC. The endorsement must include the original copy of the results of area verification and the legal, technical and financial evaluations with all their attachments, and the project area map and its technical descriptions. Upon concurrence of ITMS, FS, REMB and LS on the endorsement, the Secretary shall act on the HSC Application in accordance with Section 7 of this Chapter. </w:t>
            </w:r>
          </w:p>
        </w:tc>
        <w:tc>
          <w:tcPr>
            <w:tcW w:w="3590" w:type="dxa"/>
          </w:tcPr>
          <w:p w14:paraId="222889B4" w14:textId="77777777" w:rsidR="006C4239" w:rsidRPr="006A1E11" w:rsidRDefault="006C4239" w:rsidP="006A1E11">
            <w:pPr>
              <w:ind w:left="360"/>
              <w:jc w:val="both"/>
              <w:rPr>
                <w:rFonts w:eastAsia="Arial"/>
              </w:rPr>
            </w:pPr>
          </w:p>
        </w:tc>
        <w:tc>
          <w:tcPr>
            <w:tcW w:w="4267" w:type="dxa"/>
          </w:tcPr>
          <w:p w14:paraId="18C61884" w14:textId="77777777" w:rsidR="006C4239" w:rsidRPr="006A1E11" w:rsidRDefault="006C4239" w:rsidP="006A1E11">
            <w:pPr>
              <w:ind w:left="360"/>
              <w:jc w:val="both"/>
              <w:rPr>
                <w:rFonts w:eastAsia="Arial"/>
              </w:rPr>
            </w:pPr>
          </w:p>
        </w:tc>
      </w:tr>
      <w:tr w:rsidR="006C4239" w:rsidRPr="00D51AE5" w14:paraId="07050083" w14:textId="33DAA114" w:rsidTr="007639A7">
        <w:tc>
          <w:tcPr>
            <w:tcW w:w="6044" w:type="dxa"/>
          </w:tcPr>
          <w:p w14:paraId="60ADCFAD" w14:textId="77777777" w:rsidR="006C4239" w:rsidRPr="00D51AE5" w:rsidRDefault="006C4239" w:rsidP="00454C64">
            <w:pPr>
              <w:pStyle w:val="ListParagraph"/>
              <w:numPr>
                <w:ilvl w:val="0"/>
                <w:numId w:val="20"/>
              </w:numPr>
              <w:ind w:left="2435"/>
              <w:jc w:val="both"/>
              <w:rPr>
                <w:rFonts w:eastAsia="Arial"/>
              </w:rPr>
            </w:pPr>
            <w:r w:rsidRPr="00D51AE5">
              <w:rPr>
                <w:rFonts w:eastAsia="Arial"/>
              </w:rPr>
              <w:t>If the HSC Application does not pass the legal, technical, and/or financial evaluations, HOEMD shall notify the HSC Applicant through the EVOSS System to rectify the submission within ten (10)</w:t>
            </w:r>
            <w:r w:rsidRPr="00D51AE5">
              <w:t xml:space="preserve"> </w:t>
            </w:r>
            <w:r w:rsidRPr="00D51AE5">
              <w:rPr>
                <w:rFonts w:eastAsia="Arial"/>
              </w:rPr>
              <w:t>days.</w:t>
            </w:r>
          </w:p>
        </w:tc>
        <w:tc>
          <w:tcPr>
            <w:tcW w:w="3590" w:type="dxa"/>
          </w:tcPr>
          <w:p w14:paraId="07B5C7F0" w14:textId="77777777" w:rsidR="006C4239" w:rsidRPr="006A1E11" w:rsidRDefault="006C4239" w:rsidP="006A1E11">
            <w:pPr>
              <w:ind w:left="360"/>
              <w:jc w:val="both"/>
              <w:rPr>
                <w:rFonts w:eastAsia="Arial"/>
              </w:rPr>
            </w:pPr>
          </w:p>
        </w:tc>
        <w:tc>
          <w:tcPr>
            <w:tcW w:w="4267" w:type="dxa"/>
          </w:tcPr>
          <w:p w14:paraId="6562404C" w14:textId="77777777" w:rsidR="006C4239" w:rsidRPr="006A1E11" w:rsidRDefault="006C4239" w:rsidP="006A1E11">
            <w:pPr>
              <w:ind w:left="360"/>
              <w:jc w:val="both"/>
              <w:rPr>
                <w:rFonts w:eastAsia="Arial"/>
              </w:rPr>
            </w:pPr>
          </w:p>
        </w:tc>
      </w:tr>
      <w:tr w:rsidR="006C4239" w:rsidRPr="00D51AE5" w14:paraId="75DDA468" w14:textId="20DFD720" w:rsidTr="007639A7">
        <w:tc>
          <w:tcPr>
            <w:tcW w:w="6044" w:type="dxa"/>
          </w:tcPr>
          <w:p w14:paraId="65F151D7" w14:textId="77777777" w:rsidR="006C4239" w:rsidRPr="00D51AE5" w:rsidRDefault="006C4239" w:rsidP="00454C64">
            <w:pPr>
              <w:pStyle w:val="ListParagraph"/>
              <w:numPr>
                <w:ilvl w:val="0"/>
                <w:numId w:val="21"/>
              </w:numPr>
              <w:ind w:left="2435" w:hanging="709"/>
              <w:jc w:val="both"/>
            </w:pPr>
            <w:r w:rsidRPr="00D51AE5">
              <w:t xml:space="preserve">Failure of the HSC Applicant to submit supplementary documents within the prescribed period shall be deemed an abandonment of the HSC Application. HOEMD shall notify the HSC Applicant, LS, FS, and ITMS of the disqualification through the EVOSS System. </w:t>
            </w:r>
          </w:p>
        </w:tc>
        <w:tc>
          <w:tcPr>
            <w:tcW w:w="3590" w:type="dxa"/>
          </w:tcPr>
          <w:p w14:paraId="05848AF7" w14:textId="77777777" w:rsidR="006C4239" w:rsidRPr="006A1E11" w:rsidRDefault="006C4239" w:rsidP="006A1E11">
            <w:pPr>
              <w:ind w:left="360"/>
              <w:jc w:val="both"/>
            </w:pPr>
          </w:p>
        </w:tc>
        <w:tc>
          <w:tcPr>
            <w:tcW w:w="4267" w:type="dxa"/>
          </w:tcPr>
          <w:p w14:paraId="464CA770" w14:textId="77777777" w:rsidR="006C4239" w:rsidRPr="006A1E11" w:rsidRDefault="006C4239" w:rsidP="006A1E11">
            <w:pPr>
              <w:ind w:left="360"/>
              <w:jc w:val="both"/>
            </w:pPr>
          </w:p>
        </w:tc>
      </w:tr>
      <w:tr w:rsidR="006C4239" w:rsidRPr="00D51AE5" w14:paraId="398AB45D" w14:textId="148E5234" w:rsidTr="007639A7">
        <w:tc>
          <w:tcPr>
            <w:tcW w:w="6044" w:type="dxa"/>
          </w:tcPr>
          <w:p w14:paraId="52F91AEC" w14:textId="77777777" w:rsidR="006C4239" w:rsidRPr="00D51AE5" w:rsidRDefault="006C4239" w:rsidP="00454C64">
            <w:pPr>
              <w:pStyle w:val="ListParagraph"/>
              <w:numPr>
                <w:ilvl w:val="0"/>
                <w:numId w:val="21"/>
              </w:numPr>
              <w:ind w:left="2435" w:hanging="709"/>
              <w:jc w:val="both"/>
            </w:pPr>
            <w:r w:rsidRPr="00D51AE5">
              <w:t>If the HSC Applicant submits supplementary complete documents within the prescribed period above, HOEMD, LS and FS shall be notified by the EVOSS System of the submission. HOEMD, FS and LS shall finish the simultaneous technical, legal, and financial evaluations within three (3) days.</w:t>
            </w:r>
          </w:p>
        </w:tc>
        <w:tc>
          <w:tcPr>
            <w:tcW w:w="3590" w:type="dxa"/>
          </w:tcPr>
          <w:p w14:paraId="76BDEC32" w14:textId="77777777" w:rsidR="006C4239" w:rsidRPr="006A1E11" w:rsidRDefault="006C4239" w:rsidP="006A1E11">
            <w:pPr>
              <w:ind w:left="360"/>
              <w:jc w:val="both"/>
            </w:pPr>
          </w:p>
        </w:tc>
        <w:tc>
          <w:tcPr>
            <w:tcW w:w="4267" w:type="dxa"/>
          </w:tcPr>
          <w:p w14:paraId="32F4539B" w14:textId="77777777" w:rsidR="006C4239" w:rsidRPr="006A1E11" w:rsidRDefault="006C4239" w:rsidP="006A1E11">
            <w:pPr>
              <w:ind w:left="360"/>
              <w:jc w:val="both"/>
            </w:pPr>
          </w:p>
        </w:tc>
      </w:tr>
      <w:tr w:rsidR="006C4239" w:rsidRPr="00D51AE5" w14:paraId="4E2DC88C" w14:textId="29AD13DA" w:rsidTr="007639A7">
        <w:tc>
          <w:tcPr>
            <w:tcW w:w="6044" w:type="dxa"/>
          </w:tcPr>
          <w:p w14:paraId="19362B74" w14:textId="77777777" w:rsidR="006C4239" w:rsidRPr="00D51AE5" w:rsidRDefault="006C4239" w:rsidP="00454C64">
            <w:pPr>
              <w:pStyle w:val="ListParagraph"/>
              <w:numPr>
                <w:ilvl w:val="0"/>
                <w:numId w:val="21"/>
              </w:numPr>
              <w:ind w:left="2435" w:hanging="709"/>
              <w:jc w:val="both"/>
            </w:pPr>
            <w:r w:rsidRPr="00D51AE5">
              <w:t>Should the HSC Application still fail to pass any of the subsequent legal, technical, or financial evaluations, HOEMD shall notify the HSC Applicant, LS, FS, and ITMS of the disqualification through the EVOSS System. Upon receipt of the RE Applicant of the letter of disqualification, the REMB shall prepare a memorandum to the ITMS to immediately re-open the area for RE Applications by posting such information on the DOE website.</w:t>
            </w:r>
          </w:p>
        </w:tc>
        <w:tc>
          <w:tcPr>
            <w:tcW w:w="3590" w:type="dxa"/>
          </w:tcPr>
          <w:p w14:paraId="257370A6" w14:textId="77777777" w:rsidR="006C4239" w:rsidRPr="006A1E11" w:rsidRDefault="006C4239" w:rsidP="006A1E11">
            <w:pPr>
              <w:ind w:left="360"/>
              <w:jc w:val="both"/>
            </w:pPr>
          </w:p>
        </w:tc>
        <w:tc>
          <w:tcPr>
            <w:tcW w:w="4267" w:type="dxa"/>
          </w:tcPr>
          <w:p w14:paraId="6FDF66C9" w14:textId="77777777" w:rsidR="006C4239" w:rsidRPr="006A1E11" w:rsidRDefault="006C4239" w:rsidP="006A1E11">
            <w:pPr>
              <w:ind w:left="360"/>
              <w:jc w:val="both"/>
            </w:pPr>
          </w:p>
        </w:tc>
      </w:tr>
      <w:tr w:rsidR="006C4239" w:rsidRPr="00D51AE5" w14:paraId="6D301DD7" w14:textId="68D1889A" w:rsidTr="007639A7">
        <w:tc>
          <w:tcPr>
            <w:tcW w:w="6044" w:type="dxa"/>
          </w:tcPr>
          <w:p w14:paraId="45B2889F" w14:textId="77777777" w:rsidR="006C4239" w:rsidRPr="00D51AE5" w:rsidRDefault="006C4239" w:rsidP="006C4239">
            <w:pPr>
              <w:pStyle w:val="ListParagraph"/>
              <w:numPr>
                <w:ilvl w:val="2"/>
                <w:numId w:val="19"/>
              </w:numPr>
              <w:ind w:left="1985" w:hanging="567"/>
              <w:jc w:val="both"/>
            </w:pPr>
            <w:r w:rsidRPr="00D51AE5">
              <w:t>The HSC Applicant shall submit all supplemental documents through the EVOSS System. Documents submitted outside the EVOSS System and those submitted through the EVOSS System but beyond the prescribed period shall not be accepted or evaluated.</w:t>
            </w:r>
          </w:p>
        </w:tc>
        <w:tc>
          <w:tcPr>
            <w:tcW w:w="3590" w:type="dxa"/>
          </w:tcPr>
          <w:p w14:paraId="732CAC46" w14:textId="77777777" w:rsidR="006C4239" w:rsidRPr="006A1E11" w:rsidRDefault="006C4239" w:rsidP="006A1E11">
            <w:pPr>
              <w:ind w:left="1980"/>
              <w:jc w:val="both"/>
            </w:pPr>
          </w:p>
        </w:tc>
        <w:tc>
          <w:tcPr>
            <w:tcW w:w="4267" w:type="dxa"/>
          </w:tcPr>
          <w:p w14:paraId="4972581B" w14:textId="77777777" w:rsidR="006C4239" w:rsidRPr="006A1E11" w:rsidRDefault="006C4239" w:rsidP="006A1E11">
            <w:pPr>
              <w:ind w:left="1980"/>
              <w:jc w:val="both"/>
            </w:pPr>
          </w:p>
        </w:tc>
      </w:tr>
      <w:tr w:rsidR="006C4239" w:rsidRPr="00D51AE5" w14:paraId="66A37203" w14:textId="55302E82" w:rsidTr="007639A7">
        <w:tc>
          <w:tcPr>
            <w:tcW w:w="6044" w:type="dxa"/>
          </w:tcPr>
          <w:p w14:paraId="79B66DE9" w14:textId="77777777" w:rsidR="006C4239" w:rsidRPr="00D51AE5" w:rsidRDefault="006C4239" w:rsidP="006C4239">
            <w:pPr>
              <w:pStyle w:val="ListParagraph"/>
              <w:numPr>
                <w:ilvl w:val="2"/>
                <w:numId w:val="19"/>
              </w:numPr>
              <w:ind w:left="1985" w:hanging="567"/>
              <w:jc w:val="both"/>
            </w:pPr>
            <w:r w:rsidRPr="00D51AE5">
              <w:t>No Request for Reconsideration (RR) of any of the legal, technical, financial evaluation or the disqualification shall be entertained, except when the HSC Applicant failed to submit the required documents within the prescribed timelines due to a fault in the EVOSS System, as confirmed by Investment Promotion Office (IPO). In such circumstances, the HSC Applicant shall file the RR with REMB within three (3) days from uploading of the Notice of Disqualification.</w:t>
            </w:r>
          </w:p>
        </w:tc>
        <w:tc>
          <w:tcPr>
            <w:tcW w:w="3590" w:type="dxa"/>
          </w:tcPr>
          <w:p w14:paraId="6C4CBE25" w14:textId="77777777" w:rsidR="006C4239" w:rsidRPr="006A1E11" w:rsidRDefault="006C4239" w:rsidP="006A1E11">
            <w:pPr>
              <w:ind w:left="1980"/>
              <w:jc w:val="both"/>
            </w:pPr>
          </w:p>
        </w:tc>
        <w:tc>
          <w:tcPr>
            <w:tcW w:w="4267" w:type="dxa"/>
          </w:tcPr>
          <w:p w14:paraId="34752391" w14:textId="77777777" w:rsidR="006C4239" w:rsidRPr="006A1E11" w:rsidRDefault="006C4239" w:rsidP="006A1E11">
            <w:pPr>
              <w:ind w:left="1980"/>
              <w:jc w:val="both"/>
            </w:pPr>
          </w:p>
        </w:tc>
      </w:tr>
      <w:tr w:rsidR="006C4239" w:rsidRPr="00D51AE5" w14:paraId="4F43583D" w14:textId="45070A70" w:rsidTr="007639A7">
        <w:tc>
          <w:tcPr>
            <w:tcW w:w="6044" w:type="dxa"/>
          </w:tcPr>
          <w:p w14:paraId="4B8F3078" w14:textId="77777777" w:rsidR="006C4239" w:rsidRPr="00D51AE5" w:rsidRDefault="006C4239" w:rsidP="006C4239">
            <w:pPr>
              <w:pStyle w:val="ListParagraph"/>
              <w:numPr>
                <w:ilvl w:val="0"/>
                <w:numId w:val="22"/>
              </w:numPr>
              <w:ind w:left="3261"/>
              <w:jc w:val="both"/>
              <w:rPr>
                <w:rFonts w:eastAsia="Arial"/>
              </w:rPr>
            </w:pPr>
            <w:r w:rsidRPr="00D51AE5">
              <w:rPr>
                <w:rFonts w:eastAsia="Arial"/>
              </w:rPr>
              <w:t>Upon receipt of the RR, HOEMD shall request IPO to confirm the occurrence of the technical problem. If so confirmed and the same prevented the timely submission, HOEMD, FS and/or LS shall evaluate the HSC Application considering the additional submission.</w:t>
            </w:r>
          </w:p>
        </w:tc>
        <w:tc>
          <w:tcPr>
            <w:tcW w:w="3590" w:type="dxa"/>
          </w:tcPr>
          <w:p w14:paraId="681B8E85" w14:textId="77777777" w:rsidR="006C4239" w:rsidRPr="006A1E11" w:rsidRDefault="006C4239" w:rsidP="006A1E11">
            <w:pPr>
              <w:ind w:left="360"/>
              <w:jc w:val="both"/>
              <w:rPr>
                <w:rFonts w:eastAsia="Arial"/>
              </w:rPr>
            </w:pPr>
          </w:p>
        </w:tc>
        <w:tc>
          <w:tcPr>
            <w:tcW w:w="4267" w:type="dxa"/>
          </w:tcPr>
          <w:p w14:paraId="3A283A69" w14:textId="77777777" w:rsidR="006C4239" w:rsidRPr="006A1E11" w:rsidRDefault="006C4239" w:rsidP="006A1E11">
            <w:pPr>
              <w:ind w:left="360"/>
              <w:jc w:val="both"/>
              <w:rPr>
                <w:rFonts w:eastAsia="Arial"/>
              </w:rPr>
            </w:pPr>
          </w:p>
        </w:tc>
      </w:tr>
      <w:tr w:rsidR="006C4239" w:rsidRPr="00D51AE5" w14:paraId="53C3D695" w14:textId="36912F5E" w:rsidTr="007639A7">
        <w:tc>
          <w:tcPr>
            <w:tcW w:w="6044" w:type="dxa"/>
          </w:tcPr>
          <w:p w14:paraId="659D0489" w14:textId="77777777" w:rsidR="006C4239" w:rsidRPr="00D51AE5" w:rsidRDefault="006C4239" w:rsidP="006C4239">
            <w:pPr>
              <w:pStyle w:val="ListParagraph"/>
              <w:numPr>
                <w:ilvl w:val="0"/>
                <w:numId w:val="22"/>
              </w:numPr>
              <w:ind w:left="3261"/>
              <w:jc w:val="both"/>
              <w:rPr>
                <w:rFonts w:eastAsia="Arial"/>
              </w:rPr>
            </w:pPr>
            <w:r w:rsidRPr="00D51AE5">
              <w:rPr>
                <w:rFonts w:eastAsia="Arial"/>
              </w:rPr>
              <w:t>If the HSC Application passes the evaluation, REMB shall grant the RR. Thereafter, HOEMD shall proceed in accordance with Section 5.9.3(a).</w:t>
            </w:r>
          </w:p>
        </w:tc>
        <w:tc>
          <w:tcPr>
            <w:tcW w:w="3590" w:type="dxa"/>
          </w:tcPr>
          <w:p w14:paraId="03CBA6BC" w14:textId="77777777" w:rsidR="006C4239" w:rsidRPr="006A1E11" w:rsidRDefault="006C4239" w:rsidP="006A1E11">
            <w:pPr>
              <w:ind w:left="360"/>
              <w:jc w:val="both"/>
              <w:rPr>
                <w:rFonts w:eastAsia="Arial"/>
              </w:rPr>
            </w:pPr>
          </w:p>
        </w:tc>
        <w:tc>
          <w:tcPr>
            <w:tcW w:w="4267" w:type="dxa"/>
          </w:tcPr>
          <w:p w14:paraId="7AD30801" w14:textId="77777777" w:rsidR="006C4239" w:rsidRPr="006A1E11" w:rsidRDefault="006C4239" w:rsidP="006A1E11">
            <w:pPr>
              <w:ind w:left="360"/>
              <w:jc w:val="both"/>
              <w:rPr>
                <w:rFonts w:eastAsia="Arial"/>
              </w:rPr>
            </w:pPr>
          </w:p>
        </w:tc>
      </w:tr>
      <w:tr w:rsidR="006C4239" w:rsidRPr="00D51AE5" w14:paraId="45D266DB" w14:textId="7C2C03E9" w:rsidTr="007639A7">
        <w:tc>
          <w:tcPr>
            <w:tcW w:w="6044" w:type="dxa"/>
          </w:tcPr>
          <w:p w14:paraId="02565A49" w14:textId="77777777" w:rsidR="006C4239" w:rsidRPr="00D51AE5" w:rsidRDefault="006C4239" w:rsidP="006C4239">
            <w:pPr>
              <w:contextualSpacing/>
              <w:jc w:val="both"/>
              <w:outlineLvl w:val="1"/>
              <w:rPr>
                <w:rFonts w:ascii="Arial" w:hAnsi="Arial" w:cs="Arial"/>
              </w:rPr>
            </w:pPr>
            <w:r w:rsidRPr="00D51AE5">
              <w:rPr>
                <w:rFonts w:ascii="Arial" w:hAnsi="Arial" w:cs="Arial"/>
              </w:rPr>
              <w:t xml:space="preserve">5.10 If the Hydropower Developer waived the Certificate of Authority during the pre-application process, HOEMD shall proceed with the application in accordance with Section 7.2 of this Chapter. </w:t>
            </w:r>
          </w:p>
        </w:tc>
        <w:tc>
          <w:tcPr>
            <w:tcW w:w="3590" w:type="dxa"/>
          </w:tcPr>
          <w:p w14:paraId="1177CAEF" w14:textId="77777777" w:rsidR="006C4239" w:rsidRPr="006A1E11" w:rsidRDefault="006C4239" w:rsidP="006A1E11">
            <w:pPr>
              <w:ind w:left="360"/>
              <w:jc w:val="both"/>
              <w:outlineLvl w:val="1"/>
            </w:pPr>
          </w:p>
        </w:tc>
        <w:tc>
          <w:tcPr>
            <w:tcW w:w="4267" w:type="dxa"/>
          </w:tcPr>
          <w:p w14:paraId="3F9F0226" w14:textId="77777777" w:rsidR="006C4239" w:rsidRPr="006A1E11" w:rsidRDefault="006C4239" w:rsidP="006A1E11">
            <w:pPr>
              <w:ind w:left="360"/>
              <w:jc w:val="both"/>
              <w:outlineLvl w:val="1"/>
            </w:pPr>
          </w:p>
        </w:tc>
      </w:tr>
      <w:tr w:rsidR="006C4239" w:rsidRPr="00D51AE5" w14:paraId="7AD46356" w14:textId="7860BF0D" w:rsidTr="007639A7">
        <w:tc>
          <w:tcPr>
            <w:tcW w:w="6044" w:type="dxa"/>
          </w:tcPr>
          <w:p w14:paraId="452A1780" w14:textId="77777777" w:rsidR="006C4239" w:rsidRPr="00D51AE5" w:rsidRDefault="006C4239" w:rsidP="006C4239">
            <w:pPr>
              <w:contextualSpacing/>
              <w:jc w:val="both"/>
              <w:outlineLvl w:val="1"/>
              <w:rPr>
                <w:rFonts w:ascii="Arial" w:hAnsi="Arial" w:cs="Arial"/>
              </w:rPr>
            </w:pPr>
            <w:r w:rsidRPr="00D51AE5">
              <w:rPr>
                <w:rFonts w:ascii="Arial" w:hAnsi="Arial" w:cs="Arial"/>
                <w:b/>
                <w:bCs/>
              </w:rPr>
              <w:t xml:space="preserve">Section 6. Terms of Certificate of Authority. </w:t>
            </w:r>
            <w:r w:rsidRPr="00D51AE5">
              <w:rPr>
                <w:rFonts w:ascii="Arial" w:hAnsi="Arial" w:cs="Arial"/>
              </w:rPr>
              <w:t>The awardee of an HSC shall have exclusive authority to procure permits or certifications and tenurial instruments needed for the exploration, development and utilization of the hydropower resources within an area specified in the HSC Application and conduct reconnaissance and other activities needed for pre-feasibility studies upon the issuance of Certificate of Authority by the DOE.</w:t>
            </w:r>
          </w:p>
        </w:tc>
        <w:tc>
          <w:tcPr>
            <w:tcW w:w="3590" w:type="dxa"/>
          </w:tcPr>
          <w:p w14:paraId="4C58FDF6" w14:textId="77777777" w:rsidR="006C4239" w:rsidRPr="006A1E11" w:rsidRDefault="006C4239" w:rsidP="006A1E11">
            <w:pPr>
              <w:ind w:left="360"/>
              <w:jc w:val="both"/>
              <w:outlineLvl w:val="1"/>
              <w:rPr>
                <w:b/>
                <w:bCs/>
              </w:rPr>
            </w:pPr>
          </w:p>
        </w:tc>
        <w:tc>
          <w:tcPr>
            <w:tcW w:w="4267" w:type="dxa"/>
          </w:tcPr>
          <w:p w14:paraId="328E4A03" w14:textId="77777777" w:rsidR="006C4239" w:rsidRPr="006A1E11" w:rsidRDefault="006C4239" w:rsidP="006A1E11">
            <w:pPr>
              <w:ind w:left="360"/>
              <w:jc w:val="both"/>
              <w:outlineLvl w:val="1"/>
              <w:rPr>
                <w:b/>
                <w:bCs/>
              </w:rPr>
            </w:pPr>
          </w:p>
        </w:tc>
      </w:tr>
      <w:tr w:rsidR="006C4239" w:rsidRPr="00D51AE5" w14:paraId="00F3C2A5" w14:textId="38E7D5F2" w:rsidTr="007639A7">
        <w:tc>
          <w:tcPr>
            <w:tcW w:w="6044" w:type="dxa"/>
          </w:tcPr>
          <w:p w14:paraId="06BC4D72" w14:textId="77777777" w:rsidR="006C4239" w:rsidRPr="00D51AE5" w:rsidRDefault="006C4239" w:rsidP="006C4239">
            <w:pPr>
              <w:pStyle w:val="ListParagraph"/>
              <w:numPr>
                <w:ilvl w:val="1"/>
                <w:numId w:val="23"/>
              </w:numPr>
              <w:ind w:left="709"/>
              <w:jc w:val="both"/>
            </w:pPr>
            <w:r w:rsidRPr="00D51AE5">
              <w:t xml:space="preserve">The Certificate of Authority shall be valid for a period not exceeding five (5) years. During its validity, the Certificate of Authority shall serve as the DOE’s exclusive endorsement for the Hydropower Developer to secure the necessary permits or certifications and tenurial instruments from government agencies, entities or instrumentalities having jurisdiction over any aspect of the hydropower operations. The denomination of each permit or certification or tenurial instrument to be procured for the hydropower project shall be listed in the Certificate of Authority.  </w:t>
            </w:r>
          </w:p>
        </w:tc>
        <w:tc>
          <w:tcPr>
            <w:tcW w:w="3590" w:type="dxa"/>
          </w:tcPr>
          <w:p w14:paraId="2FC07872" w14:textId="77777777" w:rsidR="006C4239" w:rsidRPr="006A1E11" w:rsidRDefault="006C4239" w:rsidP="006A1E11">
            <w:pPr>
              <w:ind w:left="1080"/>
              <w:jc w:val="both"/>
            </w:pPr>
          </w:p>
        </w:tc>
        <w:tc>
          <w:tcPr>
            <w:tcW w:w="4267" w:type="dxa"/>
          </w:tcPr>
          <w:p w14:paraId="31077683" w14:textId="77777777" w:rsidR="006C4239" w:rsidRPr="006A1E11" w:rsidRDefault="006C4239" w:rsidP="006A1E11">
            <w:pPr>
              <w:ind w:left="1080"/>
              <w:jc w:val="both"/>
            </w:pPr>
          </w:p>
        </w:tc>
      </w:tr>
      <w:tr w:rsidR="006C4239" w:rsidRPr="00D51AE5" w14:paraId="4CD9FBB7" w14:textId="386ED4B3" w:rsidTr="007639A7">
        <w:tc>
          <w:tcPr>
            <w:tcW w:w="6044" w:type="dxa"/>
          </w:tcPr>
          <w:p w14:paraId="6A515295" w14:textId="77777777" w:rsidR="006C4239" w:rsidRPr="00D51AE5" w:rsidRDefault="006C4239" w:rsidP="006C4239">
            <w:pPr>
              <w:pStyle w:val="ListParagraph"/>
              <w:numPr>
                <w:ilvl w:val="1"/>
                <w:numId w:val="23"/>
              </w:numPr>
              <w:ind w:left="709"/>
              <w:jc w:val="both"/>
            </w:pPr>
            <w:r w:rsidRPr="00D51AE5">
              <w:t>The Certificate of Authority shall reflect the metes and bounds of the area as proposed in the HSC Application over which reconnaissance and other pre-feasibility activities may be conducted and permits and tenurial instruments may be secured by the Hydropower Developer for the project. For this purpose, a copy of the technical description of the area to be covered by the HSC shall form part of the Certificate of Authority.</w:t>
            </w:r>
          </w:p>
        </w:tc>
        <w:tc>
          <w:tcPr>
            <w:tcW w:w="3590" w:type="dxa"/>
          </w:tcPr>
          <w:p w14:paraId="510D965D" w14:textId="77777777" w:rsidR="006C4239" w:rsidRPr="006A1E11" w:rsidRDefault="006C4239" w:rsidP="006A1E11">
            <w:pPr>
              <w:ind w:left="1080"/>
              <w:jc w:val="both"/>
            </w:pPr>
          </w:p>
        </w:tc>
        <w:tc>
          <w:tcPr>
            <w:tcW w:w="4267" w:type="dxa"/>
          </w:tcPr>
          <w:p w14:paraId="0EE2960C" w14:textId="77777777" w:rsidR="006C4239" w:rsidRPr="006A1E11" w:rsidRDefault="006C4239" w:rsidP="006A1E11">
            <w:pPr>
              <w:ind w:left="1080"/>
              <w:jc w:val="both"/>
            </w:pPr>
          </w:p>
        </w:tc>
      </w:tr>
      <w:tr w:rsidR="006C4239" w:rsidRPr="00D51AE5" w14:paraId="177698C5" w14:textId="12C9FFA1" w:rsidTr="007639A7">
        <w:tc>
          <w:tcPr>
            <w:tcW w:w="6044" w:type="dxa"/>
          </w:tcPr>
          <w:p w14:paraId="46787D95" w14:textId="77777777" w:rsidR="006C4239" w:rsidRPr="00D51AE5" w:rsidRDefault="006C4239" w:rsidP="006C4239">
            <w:pPr>
              <w:pStyle w:val="ListParagraph"/>
              <w:numPr>
                <w:ilvl w:val="1"/>
                <w:numId w:val="23"/>
              </w:numPr>
              <w:ind w:left="709"/>
              <w:jc w:val="both"/>
            </w:pPr>
            <w:r w:rsidRPr="00D51AE5">
              <w:t xml:space="preserve">The validity of the Certificate of Authority shall not be extendible. Any reconnaissance activity that is not conducted and/or permit or certification or tenurial instrument that remains unissued upon the lapse of the Certificate of Authority shall be procured and the necessary activities therefor conducted, as part of the Pre-Development Stage. </w:t>
            </w:r>
          </w:p>
        </w:tc>
        <w:tc>
          <w:tcPr>
            <w:tcW w:w="3590" w:type="dxa"/>
          </w:tcPr>
          <w:p w14:paraId="3B64D42D" w14:textId="77777777" w:rsidR="006C4239" w:rsidRPr="006A1E11" w:rsidRDefault="006C4239" w:rsidP="006A1E11">
            <w:pPr>
              <w:ind w:left="1080"/>
              <w:jc w:val="both"/>
            </w:pPr>
          </w:p>
        </w:tc>
        <w:tc>
          <w:tcPr>
            <w:tcW w:w="4267" w:type="dxa"/>
          </w:tcPr>
          <w:p w14:paraId="6A608306" w14:textId="77777777" w:rsidR="006C4239" w:rsidRPr="006A1E11" w:rsidRDefault="006C4239" w:rsidP="006A1E11">
            <w:pPr>
              <w:ind w:left="1080"/>
              <w:jc w:val="both"/>
            </w:pPr>
          </w:p>
        </w:tc>
      </w:tr>
      <w:tr w:rsidR="006C4239" w:rsidRPr="00D51AE5" w14:paraId="38F78806" w14:textId="44A62F7B" w:rsidTr="007639A7">
        <w:tc>
          <w:tcPr>
            <w:tcW w:w="6044" w:type="dxa"/>
          </w:tcPr>
          <w:p w14:paraId="4EFF734F" w14:textId="77777777" w:rsidR="006C4239" w:rsidRPr="00D51AE5" w:rsidRDefault="006C4239" w:rsidP="006C4239">
            <w:pPr>
              <w:pStyle w:val="ListParagraph"/>
              <w:numPr>
                <w:ilvl w:val="1"/>
                <w:numId w:val="23"/>
              </w:numPr>
              <w:ind w:left="709"/>
              <w:jc w:val="both"/>
            </w:pPr>
            <w:r w:rsidRPr="00D51AE5">
              <w:t>The Hydropower Developer shall have the option to shorten the period of validity of the Certificate of Authority or utilize its full term.</w:t>
            </w:r>
          </w:p>
        </w:tc>
        <w:tc>
          <w:tcPr>
            <w:tcW w:w="3590" w:type="dxa"/>
          </w:tcPr>
          <w:p w14:paraId="600B0562" w14:textId="77777777" w:rsidR="006C4239" w:rsidRPr="006A1E11" w:rsidRDefault="006C4239" w:rsidP="006A1E11">
            <w:pPr>
              <w:ind w:left="1080"/>
              <w:jc w:val="both"/>
            </w:pPr>
          </w:p>
        </w:tc>
        <w:tc>
          <w:tcPr>
            <w:tcW w:w="4267" w:type="dxa"/>
          </w:tcPr>
          <w:p w14:paraId="36786BB5" w14:textId="77777777" w:rsidR="006C4239" w:rsidRPr="006A1E11" w:rsidRDefault="006C4239" w:rsidP="006A1E11">
            <w:pPr>
              <w:ind w:left="1080"/>
              <w:jc w:val="both"/>
            </w:pPr>
          </w:p>
        </w:tc>
      </w:tr>
      <w:tr w:rsidR="006C4239" w:rsidRPr="00D51AE5" w14:paraId="0BEE818B" w14:textId="728E5AD3" w:rsidTr="007639A7">
        <w:tc>
          <w:tcPr>
            <w:tcW w:w="6044" w:type="dxa"/>
          </w:tcPr>
          <w:p w14:paraId="1CB94DE8" w14:textId="77777777" w:rsidR="006C4239" w:rsidRPr="00D51AE5" w:rsidRDefault="006C4239" w:rsidP="006C4239">
            <w:pPr>
              <w:pStyle w:val="ListParagraph"/>
              <w:numPr>
                <w:ilvl w:val="2"/>
                <w:numId w:val="23"/>
              </w:numPr>
              <w:ind w:left="1985" w:hanging="567"/>
              <w:jc w:val="both"/>
            </w:pPr>
            <w:r w:rsidRPr="00D51AE5">
              <w:t>If the Hydropower Developer opts to shorten the period of validity, it shall give written notice to the DOE with a request to execute the HSC and a proposed Work Program.</w:t>
            </w:r>
          </w:p>
        </w:tc>
        <w:tc>
          <w:tcPr>
            <w:tcW w:w="3590" w:type="dxa"/>
          </w:tcPr>
          <w:p w14:paraId="0F52EE75" w14:textId="77777777" w:rsidR="006C4239" w:rsidRPr="006A1E11" w:rsidRDefault="006C4239" w:rsidP="006A1E11">
            <w:pPr>
              <w:ind w:left="1980"/>
              <w:jc w:val="both"/>
            </w:pPr>
          </w:p>
        </w:tc>
        <w:tc>
          <w:tcPr>
            <w:tcW w:w="4267" w:type="dxa"/>
          </w:tcPr>
          <w:p w14:paraId="5A3F580C" w14:textId="77777777" w:rsidR="006C4239" w:rsidRPr="006A1E11" w:rsidRDefault="006C4239" w:rsidP="006A1E11">
            <w:pPr>
              <w:ind w:left="1980"/>
              <w:jc w:val="both"/>
            </w:pPr>
          </w:p>
        </w:tc>
      </w:tr>
      <w:tr w:rsidR="006C4239" w:rsidRPr="00D51AE5" w14:paraId="4358DDBC" w14:textId="6C8AFD24" w:rsidTr="007639A7">
        <w:tc>
          <w:tcPr>
            <w:tcW w:w="6044" w:type="dxa"/>
          </w:tcPr>
          <w:p w14:paraId="44992CCF" w14:textId="77777777" w:rsidR="006C4239" w:rsidRPr="00D51AE5" w:rsidRDefault="006C4239" w:rsidP="006C4239">
            <w:pPr>
              <w:pStyle w:val="ListParagraph"/>
              <w:numPr>
                <w:ilvl w:val="2"/>
                <w:numId w:val="23"/>
              </w:numPr>
              <w:ind w:left="1985" w:hanging="567"/>
              <w:jc w:val="both"/>
            </w:pPr>
            <w:r w:rsidRPr="00D51AE5">
              <w:t>If the Hydropower Developer opts to utilize the full term, it shall give written notice to the DOE with a request to execute the HSC and a proposed Work Program not earlier than six (6) months but not later than three (3) months prior to the expiration of the validity of the Certificate of Authority.</w:t>
            </w:r>
          </w:p>
        </w:tc>
        <w:tc>
          <w:tcPr>
            <w:tcW w:w="3590" w:type="dxa"/>
          </w:tcPr>
          <w:p w14:paraId="52D69321" w14:textId="77777777" w:rsidR="006C4239" w:rsidRPr="006A1E11" w:rsidRDefault="006C4239" w:rsidP="006A1E11">
            <w:pPr>
              <w:ind w:left="1980"/>
              <w:jc w:val="both"/>
            </w:pPr>
          </w:p>
        </w:tc>
        <w:tc>
          <w:tcPr>
            <w:tcW w:w="4267" w:type="dxa"/>
          </w:tcPr>
          <w:p w14:paraId="2B1E3FAC" w14:textId="77777777" w:rsidR="006C4239" w:rsidRPr="006A1E11" w:rsidRDefault="006C4239" w:rsidP="006A1E11">
            <w:pPr>
              <w:ind w:left="1980"/>
              <w:jc w:val="both"/>
            </w:pPr>
          </w:p>
        </w:tc>
      </w:tr>
      <w:tr w:rsidR="006C4239" w:rsidRPr="00D51AE5" w14:paraId="20DE7126" w14:textId="3CA4194F" w:rsidTr="007639A7">
        <w:tc>
          <w:tcPr>
            <w:tcW w:w="6044" w:type="dxa"/>
          </w:tcPr>
          <w:p w14:paraId="0A029A19" w14:textId="77777777" w:rsidR="006C4239" w:rsidRPr="00D51AE5" w:rsidRDefault="006C4239" w:rsidP="006C4239">
            <w:pPr>
              <w:pStyle w:val="ListParagraph"/>
              <w:numPr>
                <w:ilvl w:val="2"/>
                <w:numId w:val="23"/>
              </w:numPr>
              <w:ind w:left="1985" w:hanging="567"/>
              <w:jc w:val="both"/>
            </w:pPr>
            <w:r w:rsidRPr="00D51AE5">
              <w:t>Failure of the Hydropower Developer to give written notice to the DOE within the period mentioned in the preceding paragraph shall be deemed an abandonment of the HSC Application, following the procedure set forth in Section 5.9.3(b)(iii).</w:t>
            </w:r>
          </w:p>
        </w:tc>
        <w:tc>
          <w:tcPr>
            <w:tcW w:w="3590" w:type="dxa"/>
          </w:tcPr>
          <w:p w14:paraId="01DEEC32" w14:textId="77777777" w:rsidR="006C4239" w:rsidRPr="006A1E11" w:rsidRDefault="006C4239" w:rsidP="006A1E11">
            <w:pPr>
              <w:ind w:left="1980"/>
              <w:jc w:val="both"/>
            </w:pPr>
          </w:p>
        </w:tc>
        <w:tc>
          <w:tcPr>
            <w:tcW w:w="4267" w:type="dxa"/>
          </w:tcPr>
          <w:p w14:paraId="7E6BB520" w14:textId="77777777" w:rsidR="006C4239" w:rsidRPr="006A1E11" w:rsidRDefault="006C4239" w:rsidP="006A1E11">
            <w:pPr>
              <w:ind w:left="1980"/>
              <w:jc w:val="both"/>
            </w:pPr>
          </w:p>
        </w:tc>
      </w:tr>
      <w:tr w:rsidR="006C4239" w:rsidRPr="00D51AE5" w14:paraId="0B474670" w14:textId="5A00B65D" w:rsidTr="007639A7">
        <w:tc>
          <w:tcPr>
            <w:tcW w:w="6044" w:type="dxa"/>
          </w:tcPr>
          <w:p w14:paraId="79068C74" w14:textId="77777777" w:rsidR="006C4239" w:rsidRPr="00D51AE5" w:rsidRDefault="006C4239" w:rsidP="006C4239">
            <w:pPr>
              <w:pStyle w:val="ListParagraph"/>
              <w:numPr>
                <w:ilvl w:val="1"/>
                <w:numId w:val="23"/>
              </w:numPr>
              <w:ind w:left="709"/>
              <w:jc w:val="both"/>
            </w:pPr>
            <w:r w:rsidRPr="00D51AE5">
              <w:t>Within three (3) days from notice, HOEMD shall prepare REMB’s memorandum for the Secretary endorsing the execution of the HSC in accordance with Section 7.2 of this Chapter.</w:t>
            </w:r>
          </w:p>
        </w:tc>
        <w:tc>
          <w:tcPr>
            <w:tcW w:w="3590" w:type="dxa"/>
          </w:tcPr>
          <w:p w14:paraId="4FB1DF14" w14:textId="77777777" w:rsidR="006C4239" w:rsidRPr="006A1E11" w:rsidRDefault="006C4239" w:rsidP="006A1E11">
            <w:pPr>
              <w:ind w:left="1080"/>
              <w:jc w:val="both"/>
            </w:pPr>
          </w:p>
        </w:tc>
        <w:tc>
          <w:tcPr>
            <w:tcW w:w="4267" w:type="dxa"/>
          </w:tcPr>
          <w:p w14:paraId="6860EAD8" w14:textId="77777777" w:rsidR="006C4239" w:rsidRPr="006A1E11" w:rsidRDefault="006C4239" w:rsidP="006A1E11">
            <w:pPr>
              <w:ind w:left="1080"/>
              <w:jc w:val="both"/>
            </w:pPr>
          </w:p>
        </w:tc>
      </w:tr>
      <w:tr w:rsidR="006C4239" w:rsidRPr="00D51AE5" w14:paraId="05BAC89A" w14:textId="5CFF9939" w:rsidTr="007639A7">
        <w:tc>
          <w:tcPr>
            <w:tcW w:w="6044" w:type="dxa"/>
          </w:tcPr>
          <w:p w14:paraId="0C46731D" w14:textId="77777777" w:rsidR="006C4239" w:rsidRPr="00D51AE5" w:rsidRDefault="006C4239" w:rsidP="006C4239">
            <w:pPr>
              <w:jc w:val="both"/>
              <w:outlineLvl w:val="1"/>
              <w:rPr>
                <w:rFonts w:ascii="Arial" w:hAnsi="Arial" w:cs="Arial"/>
                <w:b/>
                <w:bCs/>
              </w:rPr>
            </w:pPr>
            <w:r w:rsidRPr="00D51AE5">
              <w:rPr>
                <w:rFonts w:ascii="Arial" w:hAnsi="Arial" w:cs="Arial"/>
                <w:b/>
                <w:bCs/>
              </w:rPr>
              <w:t>Section 7. Award of Hydropower Service Contract and Registration of Hydropower Developers.</w:t>
            </w:r>
          </w:p>
        </w:tc>
        <w:tc>
          <w:tcPr>
            <w:tcW w:w="3590" w:type="dxa"/>
          </w:tcPr>
          <w:p w14:paraId="76F122BC" w14:textId="77777777" w:rsidR="006C4239" w:rsidRPr="006A1E11" w:rsidRDefault="006C4239" w:rsidP="006A1E11">
            <w:pPr>
              <w:ind w:left="360"/>
              <w:jc w:val="both"/>
              <w:outlineLvl w:val="1"/>
              <w:rPr>
                <w:b/>
                <w:bCs/>
              </w:rPr>
            </w:pPr>
          </w:p>
        </w:tc>
        <w:tc>
          <w:tcPr>
            <w:tcW w:w="4267" w:type="dxa"/>
          </w:tcPr>
          <w:p w14:paraId="54A6095B" w14:textId="77777777" w:rsidR="006C4239" w:rsidRPr="006A1E11" w:rsidRDefault="006C4239" w:rsidP="006A1E11">
            <w:pPr>
              <w:ind w:left="360"/>
              <w:jc w:val="both"/>
              <w:outlineLvl w:val="1"/>
              <w:rPr>
                <w:b/>
                <w:bCs/>
              </w:rPr>
            </w:pPr>
          </w:p>
        </w:tc>
      </w:tr>
      <w:tr w:rsidR="006C4239" w:rsidRPr="00D51AE5" w14:paraId="614EF26D" w14:textId="1EAA961F" w:rsidTr="007639A7">
        <w:tc>
          <w:tcPr>
            <w:tcW w:w="6044" w:type="dxa"/>
          </w:tcPr>
          <w:p w14:paraId="69AE5DBC" w14:textId="77777777" w:rsidR="006C4239" w:rsidRPr="00D51AE5" w:rsidRDefault="006C4239" w:rsidP="006C4239">
            <w:pPr>
              <w:pStyle w:val="ListParagraph"/>
              <w:numPr>
                <w:ilvl w:val="1"/>
                <w:numId w:val="24"/>
              </w:numPr>
              <w:ind w:left="993"/>
              <w:jc w:val="both"/>
              <w:outlineLvl w:val="1"/>
            </w:pPr>
            <w:r w:rsidRPr="00D51AE5">
              <w:rPr>
                <w:b/>
                <w:bCs/>
              </w:rPr>
              <w:t xml:space="preserve">Issuance of Certificate of Authority. </w:t>
            </w:r>
            <w:r w:rsidRPr="00D51AE5">
              <w:t>After the approval of an HSC Application and before the execution of an HSC, the DOE shall issue a Certificate of Authority; Provided, that the Certificate of Authority may be waived in accordance with Section 6.4 of this Chapter.</w:t>
            </w:r>
          </w:p>
        </w:tc>
        <w:tc>
          <w:tcPr>
            <w:tcW w:w="3590" w:type="dxa"/>
          </w:tcPr>
          <w:p w14:paraId="323CA8D5" w14:textId="77777777" w:rsidR="006C4239" w:rsidRPr="006A1E11" w:rsidRDefault="006C4239" w:rsidP="006A1E11">
            <w:pPr>
              <w:ind w:left="1080"/>
              <w:jc w:val="both"/>
              <w:outlineLvl w:val="1"/>
              <w:rPr>
                <w:b/>
                <w:bCs/>
              </w:rPr>
            </w:pPr>
          </w:p>
        </w:tc>
        <w:tc>
          <w:tcPr>
            <w:tcW w:w="4267" w:type="dxa"/>
          </w:tcPr>
          <w:p w14:paraId="114DEC5C" w14:textId="77777777" w:rsidR="006C4239" w:rsidRPr="006A1E11" w:rsidRDefault="006C4239" w:rsidP="006A1E11">
            <w:pPr>
              <w:ind w:left="1080"/>
              <w:jc w:val="both"/>
              <w:outlineLvl w:val="1"/>
              <w:rPr>
                <w:b/>
                <w:bCs/>
              </w:rPr>
            </w:pPr>
          </w:p>
        </w:tc>
      </w:tr>
      <w:tr w:rsidR="006C4239" w:rsidRPr="00D51AE5" w14:paraId="36CEBE12" w14:textId="4894C9C8" w:rsidTr="007639A7">
        <w:tc>
          <w:tcPr>
            <w:tcW w:w="6044" w:type="dxa"/>
          </w:tcPr>
          <w:p w14:paraId="3DCB2ECA" w14:textId="77777777" w:rsidR="006C4239" w:rsidRPr="00D51AE5" w:rsidRDefault="006C4239" w:rsidP="006C4239">
            <w:pPr>
              <w:pStyle w:val="ListParagraph"/>
              <w:numPr>
                <w:ilvl w:val="1"/>
                <w:numId w:val="24"/>
              </w:numPr>
              <w:ind w:left="993"/>
              <w:jc w:val="both"/>
              <w:outlineLvl w:val="1"/>
            </w:pPr>
            <w:r w:rsidRPr="00D51AE5">
              <w:rPr>
                <w:b/>
                <w:bCs/>
              </w:rPr>
              <w:t>Signing of the Hydropower Service Contract.</w:t>
            </w:r>
            <w:r w:rsidRPr="00D51AE5">
              <w:t xml:space="preserve"> The following procedure shall govern the awarding of HSC:</w:t>
            </w:r>
          </w:p>
        </w:tc>
        <w:tc>
          <w:tcPr>
            <w:tcW w:w="3590" w:type="dxa"/>
          </w:tcPr>
          <w:p w14:paraId="30390F4D" w14:textId="77777777" w:rsidR="006C4239" w:rsidRPr="006A1E11" w:rsidRDefault="006C4239" w:rsidP="006A1E11">
            <w:pPr>
              <w:ind w:left="1080"/>
              <w:jc w:val="both"/>
              <w:outlineLvl w:val="1"/>
              <w:rPr>
                <w:b/>
                <w:bCs/>
              </w:rPr>
            </w:pPr>
          </w:p>
        </w:tc>
        <w:tc>
          <w:tcPr>
            <w:tcW w:w="4267" w:type="dxa"/>
          </w:tcPr>
          <w:p w14:paraId="0F0DCD4F" w14:textId="77777777" w:rsidR="006C4239" w:rsidRPr="006A1E11" w:rsidRDefault="006C4239" w:rsidP="006A1E11">
            <w:pPr>
              <w:ind w:left="1080"/>
              <w:jc w:val="both"/>
              <w:outlineLvl w:val="1"/>
              <w:rPr>
                <w:b/>
                <w:bCs/>
              </w:rPr>
            </w:pPr>
          </w:p>
        </w:tc>
      </w:tr>
      <w:tr w:rsidR="006C4239" w:rsidRPr="00D51AE5" w14:paraId="292E3B6A" w14:textId="42F00D81" w:rsidTr="007639A7">
        <w:tc>
          <w:tcPr>
            <w:tcW w:w="6044" w:type="dxa"/>
          </w:tcPr>
          <w:p w14:paraId="345E8557" w14:textId="1818C804" w:rsidR="006C4239" w:rsidRPr="00D51AE5" w:rsidRDefault="006C4239" w:rsidP="006C4239">
            <w:pPr>
              <w:pStyle w:val="ListParagraph"/>
              <w:numPr>
                <w:ilvl w:val="2"/>
                <w:numId w:val="24"/>
              </w:numPr>
              <w:ind w:left="1985" w:hanging="567"/>
              <w:jc w:val="both"/>
              <w:outlineLvl w:val="1"/>
            </w:pPr>
            <w:r w:rsidRPr="00D51AE5">
              <w:rPr>
                <w:b/>
                <w:bCs/>
              </w:rPr>
              <w:t xml:space="preserve">Notification of Award. </w:t>
            </w:r>
            <w:r w:rsidRPr="00D51AE5">
              <w:t>The DOE shall notify the selected (under the OCSP) or qualified (under Direct Application) HSC Applicant of the award of the HSC.</w:t>
            </w:r>
          </w:p>
        </w:tc>
        <w:tc>
          <w:tcPr>
            <w:tcW w:w="3590" w:type="dxa"/>
          </w:tcPr>
          <w:p w14:paraId="6DD5B343" w14:textId="77777777" w:rsidR="006C4239" w:rsidRPr="006A1E11" w:rsidRDefault="006C4239" w:rsidP="006A1E11">
            <w:pPr>
              <w:ind w:left="1980"/>
              <w:jc w:val="both"/>
              <w:outlineLvl w:val="1"/>
              <w:rPr>
                <w:b/>
                <w:bCs/>
              </w:rPr>
            </w:pPr>
          </w:p>
        </w:tc>
        <w:tc>
          <w:tcPr>
            <w:tcW w:w="4267" w:type="dxa"/>
          </w:tcPr>
          <w:p w14:paraId="0E42EC34" w14:textId="77777777" w:rsidR="006C4239" w:rsidRPr="006A1E11" w:rsidRDefault="006C4239" w:rsidP="006A1E11">
            <w:pPr>
              <w:ind w:left="1980"/>
              <w:jc w:val="both"/>
              <w:outlineLvl w:val="1"/>
              <w:rPr>
                <w:b/>
                <w:bCs/>
              </w:rPr>
            </w:pPr>
          </w:p>
        </w:tc>
      </w:tr>
      <w:tr w:rsidR="006C4239" w:rsidRPr="00D51AE5" w14:paraId="35DAFAD4" w14:textId="70A0024C" w:rsidTr="007639A7">
        <w:tc>
          <w:tcPr>
            <w:tcW w:w="6044" w:type="dxa"/>
          </w:tcPr>
          <w:p w14:paraId="01BC74D7" w14:textId="77777777" w:rsidR="006C4239" w:rsidRPr="00D51AE5" w:rsidRDefault="006C4239" w:rsidP="006C4239">
            <w:pPr>
              <w:pStyle w:val="ListParagraph"/>
              <w:numPr>
                <w:ilvl w:val="2"/>
                <w:numId w:val="24"/>
              </w:numPr>
              <w:ind w:left="1985" w:hanging="567"/>
              <w:jc w:val="both"/>
              <w:outlineLvl w:val="1"/>
            </w:pPr>
            <w:r w:rsidRPr="00D51AE5">
              <w:rPr>
                <w:b/>
                <w:bCs/>
              </w:rPr>
              <w:t>Signing</w:t>
            </w:r>
            <w:r w:rsidRPr="00D51AE5">
              <w:rPr>
                <w:b/>
              </w:rPr>
              <w:t xml:space="preserve"> of the</w:t>
            </w:r>
            <w:r w:rsidRPr="00D51AE5">
              <w:rPr>
                <w:b/>
                <w:bCs/>
              </w:rPr>
              <w:t xml:space="preserve"> Hydropower Service Contract.</w:t>
            </w:r>
            <w:r w:rsidRPr="00D51AE5">
              <w:t xml:space="preserve"> The signing of the HSC shall be divided into two stages, namely: a) pre-signing by the HSC Applicant; and b) signing of the DOE Secretary.</w:t>
            </w:r>
          </w:p>
        </w:tc>
        <w:tc>
          <w:tcPr>
            <w:tcW w:w="3590" w:type="dxa"/>
          </w:tcPr>
          <w:p w14:paraId="481A16B7" w14:textId="77777777" w:rsidR="006C4239" w:rsidRPr="006A1E11" w:rsidRDefault="006C4239" w:rsidP="006A1E11">
            <w:pPr>
              <w:ind w:left="1980"/>
              <w:jc w:val="both"/>
              <w:outlineLvl w:val="1"/>
              <w:rPr>
                <w:b/>
                <w:bCs/>
              </w:rPr>
            </w:pPr>
          </w:p>
        </w:tc>
        <w:tc>
          <w:tcPr>
            <w:tcW w:w="4267" w:type="dxa"/>
          </w:tcPr>
          <w:p w14:paraId="45850C47" w14:textId="77777777" w:rsidR="006C4239" w:rsidRPr="006A1E11" w:rsidRDefault="006C4239" w:rsidP="006A1E11">
            <w:pPr>
              <w:ind w:left="1980"/>
              <w:jc w:val="both"/>
              <w:outlineLvl w:val="1"/>
              <w:rPr>
                <w:b/>
                <w:bCs/>
              </w:rPr>
            </w:pPr>
          </w:p>
        </w:tc>
      </w:tr>
      <w:tr w:rsidR="006C4239" w:rsidRPr="00D51AE5" w14:paraId="02F8ED91" w14:textId="155C5367" w:rsidTr="007639A7">
        <w:tc>
          <w:tcPr>
            <w:tcW w:w="6044" w:type="dxa"/>
          </w:tcPr>
          <w:p w14:paraId="4D4FA1A4" w14:textId="77777777" w:rsidR="006C4239" w:rsidRPr="00D51AE5" w:rsidRDefault="006C4239" w:rsidP="006C4239">
            <w:pPr>
              <w:pStyle w:val="ListParagraph"/>
              <w:numPr>
                <w:ilvl w:val="3"/>
                <w:numId w:val="24"/>
              </w:numPr>
              <w:ind w:left="2835" w:hanging="851"/>
              <w:jc w:val="both"/>
              <w:outlineLvl w:val="1"/>
            </w:pPr>
            <w:r w:rsidRPr="00D51AE5">
              <w:t>The REMB Supervising Assistant Secretary shall review the recommendation and endorse the same to the REMB Supervising Undersecretary within two (2) days from receipt thereof. The Undersecretary shall act on the endorsement within two (2) days from receipt of the documents. Within one (1) day from the concurrence of the Undersecretary with the REMB’s recommendation, the REMB Director shall require the HSC Applicant to pre-sign the original copies of the HSC following the prescribed template.</w:t>
            </w:r>
          </w:p>
        </w:tc>
        <w:tc>
          <w:tcPr>
            <w:tcW w:w="3590" w:type="dxa"/>
          </w:tcPr>
          <w:p w14:paraId="5B6E42EC" w14:textId="77777777" w:rsidR="006C4239" w:rsidRPr="006A1E11" w:rsidRDefault="006C4239" w:rsidP="006A1E11">
            <w:pPr>
              <w:ind w:left="2520"/>
              <w:jc w:val="both"/>
              <w:outlineLvl w:val="1"/>
            </w:pPr>
          </w:p>
        </w:tc>
        <w:tc>
          <w:tcPr>
            <w:tcW w:w="4267" w:type="dxa"/>
          </w:tcPr>
          <w:p w14:paraId="11F844E0" w14:textId="77777777" w:rsidR="006C4239" w:rsidRPr="006A1E11" w:rsidRDefault="006C4239" w:rsidP="006A1E11">
            <w:pPr>
              <w:ind w:left="2520"/>
              <w:jc w:val="both"/>
              <w:outlineLvl w:val="1"/>
            </w:pPr>
          </w:p>
        </w:tc>
      </w:tr>
      <w:tr w:rsidR="006C4239" w:rsidRPr="00D51AE5" w14:paraId="04B7F94D" w14:textId="708797A2" w:rsidTr="007639A7">
        <w:tc>
          <w:tcPr>
            <w:tcW w:w="6044" w:type="dxa"/>
          </w:tcPr>
          <w:p w14:paraId="22BE971D" w14:textId="77777777" w:rsidR="006C4239" w:rsidRPr="00D51AE5" w:rsidRDefault="006C4239" w:rsidP="006C4239">
            <w:pPr>
              <w:pStyle w:val="ListParagraph"/>
              <w:numPr>
                <w:ilvl w:val="3"/>
                <w:numId w:val="24"/>
              </w:numPr>
              <w:ind w:left="2835" w:hanging="851"/>
              <w:jc w:val="both"/>
              <w:outlineLvl w:val="1"/>
            </w:pPr>
            <w:r w:rsidRPr="00D51AE5">
              <w:t>Within one (1) day, the HOEMD shall validate the pre-signed HSC, and shall forward the pre-signed HSC, along with the endorsement and all its attachments to the Office of the DOE Secretary.</w:t>
            </w:r>
          </w:p>
        </w:tc>
        <w:tc>
          <w:tcPr>
            <w:tcW w:w="3590" w:type="dxa"/>
          </w:tcPr>
          <w:p w14:paraId="45D2EFEF" w14:textId="77777777" w:rsidR="006C4239" w:rsidRPr="006A1E11" w:rsidRDefault="006C4239" w:rsidP="006A1E11">
            <w:pPr>
              <w:ind w:left="2520"/>
              <w:jc w:val="both"/>
              <w:outlineLvl w:val="1"/>
            </w:pPr>
          </w:p>
        </w:tc>
        <w:tc>
          <w:tcPr>
            <w:tcW w:w="4267" w:type="dxa"/>
          </w:tcPr>
          <w:p w14:paraId="1CD127C0" w14:textId="77777777" w:rsidR="006C4239" w:rsidRPr="006A1E11" w:rsidRDefault="006C4239" w:rsidP="006A1E11">
            <w:pPr>
              <w:ind w:left="2520"/>
              <w:jc w:val="both"/>
              <w:outlineLvl w:val="1"/>
            </w:pPr>
          </w:p>
        </w:tc>
      </w:tr>
      <w:tr w:rsidR="006C4239" w:rsidRPr="00D51AE5" w14:paraId="58928AD9" w14:textId="6B560F2C" w:rsidTr="007639A7">
        <w:tc>
          <w:tcPr>
            <w:tcW w:w="6044" w:type="dxa"/>
          </w:tcPr>
          <w:p w14:paraId="20E3A736" w14:textId="77777777" w:rsidR="006C4239" w:rsidRPr="00D51AE5" w:rsidRDefault="006C4239" w:rsidP="006C4239">
            <w:pPr>
              <w:pStyle w:val="ListParagraph"/>
              <w:numPr>
                <w:ilvl w:val="3"/>
                <w:numId w:val="24"/>
              </w:numPr>
              <w:ind w:left="2835" w:hanging="851"/>
              <w:jc w:val="both"/>
              <w:outlineLvl w:val="1"/>
            </w:pPr>
            <w:r w:rsidRPr="00D51AE5">
              <w:t>The Office of the DOE Secretary shall receive the pre-signed HSC and all its attachments, shall act on the documents within seven (7) days from receipt thereof.</w:t>
            </w:r>
          </w:p>
        </w:tc>
        <w:tc>
          <w:tcPr>
            <w:tcW w:w="3590" w:type="dxa"/>
          </w:tcPr>
          <w:p w14:paraId="37EB77C6" w14:textId="77777777" w:rsidR="006C4239" w:rsidRPr="006A1E11" w:rsidRDefault="006C4239" w:rsidP="006A1E11">
            <w:pPr>
              <w:ind w:left="2520"/>
              <w:jc w:val="both"/>
              <w:outlineLvl w:val="1"/>
            </w:pPr>
          </w:p>
        </w:tc>
        <w:tc>
          <w:tcPr>
            <w:tcW w:w="4267" w:type="dxa"/>
          </w:tcPr>
          <w:p w14:paraId="5F90FE5F" w14:textId="77777777" w:rsidR="006C4239" w:rsidRPr="006A1E11" w:rsidRDefault="006C4239" w:rsidP="006A1E11">
            <w:pPr>
              <w:ind w:left="2520"/>
              <w:jc w:val="both"/>
              <w:outlineLvl w:val="1"/>
            </w:pPr>
          </w:p>
        </w:tc>
      </w:tr>
      <w:tr w:rsidR="006C4239" w:rsidRPr="00D51AE5" w14:paraId="18736982" w14:textId="17D1667F" w:rsidTr="007639A7">
        <w:tc>
          <w:tcPr>
            <w:tcW w:w="6044" w:type="dxa"/>
          </w:tcPr>
          <w:p w14:paraId="04A7123D" w14:textId="77777777" w:rsidR="006C4239" w:rsidRPr="00D51AE5" w:rsidRDefault="006C4239" w:rsidP="006C4239">
            <w:pPr>
              <w:pStyle w:val="ListParagraph"/>
              <w:numPr>
                <w:ilvl w:val="1"/>
                <w:numId w:val="24"/>
              </w:numPr>
              <w:jc w:val="both"/>
              <w:rPr>
                <w:strike/>
              </w:rPr>
            </w:pPr>
            <w:r w:rsidRPr="00D51AE5">
              <w:rPr>
                <w:b/>
                <w:bCs/>
              </w:rPr>
              <w:t>Payment of Signing Fee.</w:t>
            </w:r>
            <w:r w:rsidRPr="00D51AE5">
              <w:t xml:space="preserve"> The HOEMD, through the EVOSS System, shall issue the Order of Payment within one (1) day. The HSC Applicant shall pay the signing fee within fifteen (15) days, which shall be paid directly to the Treasury, and post the performance bond, within the relevant period, covering the first contract year.</w:t>
            </w:r>
          </w:p>
        </w:tc>
        <w:tc>
          <w:tcPr>
            <w:tcW w:w="3590" w:type="dxa"/>
          </w:tcPr>
          <w:p w14:paraId="1DB2961B" w14:textId="77777777" w:rsidR="006C4239" w:rsidRPr="006A1E11" w:rsidRDefault="006C4239" w:rsidP="006A1E11">
            <w:pPr>
              <w:ind w:left="1080"/>
              <w:jc w:val="both"/>
              <w:rPr>
                <w:b/>
                <w:bCs/>
              </w:rPr>
            </w:pPr>
          </w:p>
        </w:tc>
        <w:tc>
          <w:tcPr>
            <w:tcW w:w="4267" w:type="dxa"/>
          </w:tcPr>
          <w:p w14:paraId="5755CE2F" w14:textId="77777777" w:rsidR="006C4239" w:rsidRPr="006A1E11" w:rsidRDefault="006C4239" w:rsidP="006A1E11">
            <w:pPr>
              <w:ind w:left="1080"/>
              <w:jc w:val="both"/>
              <w:rPr>
                <w:b/>
                <w:bCs/>
              </w:rPr>
            </w:pPr>
          </w:p>
        </w:tc>
      </w:tr>
      <w:tr w:rsidR="006C4239" w:rsidRPr="00D51AE5" w14:paraId="08A7EF98" w14:textId="11DE5B08" w:rsidTr="007639A7">
        <w:tc>
          <w:tcPr>
            <w:tcW w:w="6044" w:type="dxa"/>
          </w:tcPr>
          <w:p w14:paraId="6C5B6112" w14:textId="77777777" w:rsidR="006C4239" w:rsidRPr="00D51AE5" w:rsidRDefault="006C4239" w:rsidP="006C4239">
            <w:pPr>
              <w:jc w:val="both"/>
              <w:rPr>
                <w:rFonts w:ascii="Arial" w:hAnsi="Arial" w:cs="Arial"/>
              </w:rPr>
            </w:pPr>
            <w:r w:rsidRPr="00D51AE5">
              <w:rPr>
                <w:rFonts w:ascii="Arial" w:hAnsi="Arial" w:cs="Arial"/>
              </w:rPr>
              <w:t>The HSC Applicant shall upload proof of payment of the signing fee within fifteen (15) days from receipt of notice. The failure of the Hydropower Developer to do so shall be deemed as an abandonment of the HSC Application and shall cause the revocation of the HSC. Further, non-posting of the performance bond within thirty (30) days from receipt of notice shall cause the HSC to be deemed void.</w:t>
            </w:r>
          </w:p>
        </w:tc>
        <w:tc>
          <w:tcPr>
            <w:tcW w:w="3590" w:type="dxa"/>
          </w:tcPr>
          <w:p w14:paraId="4095CC21" w14:textId="77777777" w:rsidR="006C4239" w:rsidRPr="006A1E11" w:rsidRDefault="006C4239" w:rsidP="006A1E11">
            <w:pPr>
              <w:ind w:left="360"/>
              <w:jc w:val="both"/>
            </w:pPr>
          </w:p>
        </w:tc>
        <w:tc>
          <w:tcPr>
            <w:tcW w:w="4267" w:type="dxa"/>
          </w:tcPr>
          <w:p w14:paraId="1A56F815" w14:textId="77777777" w:rsidR="006C4239" w:rsidRPr="006A1E11" w:rsidRDefault="006C4239" w:rsidP="006A1E11">
            <w:pPr>
              <w:ind w:left="360"/>
              <w:jc w:val="both"/>
            </w:pPr>
          </w:p>
        </w:tc>
      </w:tr>
      <w:tr w:rsidR="006C4239" w:rsidRPr="00D51AE5" w14:paraId="55E71B24" w14:textId="1815DDD1" w:rsidTr="007639A7">
        <w:tc>
          <w:tcPr>
            <w:tcW w:w="6044" w:type="dxa"/>
          </w:tcPr>
          <w:p w14:paraId="2D9F5E08" w14:textId="77777777" w:rsidR="006C4239" w:rsidRPr="00D51AE5" w:rsidRDefault="006C4239" w:rsidP="006C4239">
            <w:pPr>
              <w:pStyle w:val="ListParagraph"/>
              <w:numPr>
                <w:ilvl w:val="2"/>
                <w:numId w:val="25"/>
              </w:numPr>
              <w:ind w:left="1985" w:hanging="545"/>
              <w:jc w:val="both"/>
            </w:pPr>
            <w:r w:rsidRPr="00D51AE5">
              <w:rPr>
                <w:b/>
                <w:bCs/>
              </w:rPr>
              <w:t xml:space="preserve">Delivery of the Signed Hydropower Service Contract. </w:t>
            </w:r>
            <w:r w:rsidRPr="00D51AE5">
              <w:t>The HOEMD shall upload the signed and notarized copy of the HSC and COR, as applicable, and inform the Hydropower Developer to pick up the said documents. Simultaneous with the receipt of the HSC, the Hydropower Developer shall surrender to the DOE the Certificate of Authority issued pursuant to this Circular.</w:t>
            </w:r>
          </w:p>
        </w:tc>
        <w:tc>
          <w:tcPr>
            <w:tcW w:w="3590" w:type="dxa"/>
          </w:tcPr>
          <w:p w14:paraId="4F82542E" w14:textId="77777777" w:rsidR="006C4239" w:rsidRPr="006A1E11" w:rsidRDefault="006C4239" w:rsidP="006A1E11">
            <w:pPr>
              <w:ind w:left="1980"/>
              <w:jc w:val="both"/>
              <w:rPr>
                <w:b/>
                <w:bCs/>
              </w:rPr>
            </w:pPr>
          </w:p>
        </w:tc>
        <w:tc>
          <w:tcPr>
            <w:tcW w:w="4267" w:type="dxa"/>
          </w:tcPr>
          <w:p w14:paraId="19EB5AFE" w14:textId="77777777" w:rsidR="006C4239" w:rsidRPr="006A1E11" w:rsidRDefault="006C4239" w:rsidP="006A1E11">
            <w:pPr>
              <w:ind w:left="1980"/>
              <w:jc w:val="both"/>
              <w:rPr>
                <w:b/>
                <w:bCs/>
              </w:rPr>
            </w:pPr>
          </w:p>
        </w:tc>
      </w:tr>
      <w:tr w:rsidR="006C4239" w:rsidRPr="00D51AE5" w14:paraId="3EF69466" w14:textId="12DC972E" w:rsidTr="007639A7">
        <w:tc>
          <w:tcPr>
            <w:tcW w:w="6044" w:type="dxa"/>
          </w:tcPr>
          <w:p w14:paraId="5BDCC175" w14:textId="77777777" w:rsidR="006C4239" w:rsidRPr="00D51AE5" w:rsidRDefault="006C4239" w:rsidP="006C4239">
            <w:pPr>
              <w:pStyle w:val="ListParagraph"/>
              <w:numPr>
                <w:ilvl w:val="2"/>
                <w:numId w:val="25"/>
              </w:numPr>
              <w:ind w:left="1985" w:hanging="545"/>
              <w:jc w:val="both"/>
            </w:pPr>
            <w:r w:rsidRPr="00D51AE5">
              <w:rPr>
                <w:b/>
                <w:bCs/>
              </w:rPr>
              <w:t>Duty to Maintain Records.</w:t>
            </w:r>
            <w:r w:rsidRPr="00D51AE5">
              <w:t xml:space="preserve"> The HOEMD shall maintain a record of all LOIs received, pending HSC Applications, and signed HSC in the EVOSS System.</w:t>
            </w:r>
          </w:p>
        </w:tc>
        <w:tc>
          <w:tcPr>
            <w:tcW w:w="3590" w:type="dxa"/>
          </w:tcPr>
          <w:p w14:paraId="7DA3BBDC" w14:textId="77777777" w:rsidR="006C4239" w:rsidRPr="006A1E11" w:rsidRDefault="006C4239" w:rsidP="006A1E11">
            <w:pPr>
              <w:ind w:left="1980"/>
              <w:jc w:val="both"/>
              <w:rPr>
                <w:b/>
                <w:bCs/>
              </w:rPr>
            </w:pPr>
          </w:p>
        </w:tc>
        <w:tc>
          <w:tcPr>
            <w:tcW w:w="4267" w:type="dxa"/>
          </w:tcPr>
          <w:p w14:paraId="33A0762F" w14:textId="77777777" w:rsidR="006C4239" w:rsidRPr="006A1E11" w:rsidRDefault="006C4239" w:rsidP="006A1E11">
            <w:pPr>
              <w:ind w:left="1980"/>
              <w:jc w:val="both"/>
              <w:rPr>
                <w:b/>
                <w:bCs/>
              </w:rPr>
            </w:pPr>
          </w:p>
        </w:tc>
      </w:tr>
      <w:tr w:rsidR="006C4239" w:rsidRPr="00D51AE5" w14:paraId="525B143B" w14:textId="1C187545" w:rsidTr="007639A7">
        <w:tc>
          <w:tcPr>
            <w:tcW w:w="6044" w:type="dxa"/>
          </w:tcPr>
          <w:p w14:paraId="58C6814C" w14:textId="77777777" w:rsidR="006C4239" w:rsidRPr="00D51AE5" w:rsidRDefault="006C4239" w:rsidP="006C4239">
            <w:pPr>
              <w:pStyle w:val="ListParagraph"/>
              <w:numPr>
                <w:ilvl w:val="2"/>
                <w:numId w:val="25"/>
              </w:numPr>
              <w:ind w:left="1985" w:hanging="545"/>
              <w:jc w:val="both"/>
            </w:pPr>
            <w:r w:rsidRPr="00D51AE5">
              <w:t>The ITMS shall make the area available to other applicants only when: a) the HSC Applicant failed to qualify; or b) withdraws or abandons its LOI or HSC Application, as the case may be, and only after due notice is given to the concerned interested participant/HSC Applicant of such information by the REMB Supervising Assistant Secretary, copy furnishing the ITMS with the said notice. Once an area is declared to be available, subsequent HSC Applications covering the same may be allowed, and only on a first-come, first-served basis.</w:t>
            </w:r>
          </w:p>
        </w:tc>
        <w:tc>
          <w:tcPr>
            <w:tcW w:w="3590" w:type="dxa"/>
          </w:tcPr>
          <w:p w14:paraId="69803491" w14:textId="77777777" w:rsidR="006C4239" w:rsidRPr="006A1E11" w:rsidRDefault="006C4239" w:rsidP="006A1E11">
            <w:pPr>
              <w:ind w:left="1980"/>
              <w:jc w:val="both"/>
            </w:pPr>
          </w:p>
        </w:tc>
        <w:tc>
          <w:tcPr>
            <w:tcW w:w="4267" w:type="dxa"/>
          </w:tcPr>
          <w:p w14:paraId="71579D86" w14:textId="77777777" w:rsidR="006C4239" w:rsidRPr="006A1E11" w:rsidRDefault="006C4239" w:rsidP="006A1E11">
            <w:pPr>
              <w:ind w:left="1980"/>
              <w:jc w:val="both"/>
            </w:pPr>
          </w:p>
        </w:tc>
      </w:tr>
      <w:tr w:rsidR="006C4239" w:rsidRPr="00D51AE5" w14:paraId="24812A8C" w14:textId="27DA748A" w:rsidTr="007639A7">
        <w:tc>
          <w:tcPr>
            <w:tcW w:w="6044" w:type="dxa"/>
          </w:tcPr>
          <w:p w14:paraId="3725141B" w14:textId="77777777" w:rsidR="006C4239" w:rsidRPr="00D51AE5" w:rsidRDefault="006C4239" w:rsidP="006C4239">
            <w:pPr>
              <w:pStyle w:val="ListParagraph"/>
              <w:numPr>
                <w:ilvl w:val="1"/>
                <w:numId w:val="24"/>
              </w:numPr>
              <w:jc w:val="both"/>
            </w:pPr>
            <w:r w:rsidRPr="00D51AE5">
              <w:rPr>
                <w:b/>
                <w:bCs/>
              </w:rPr>
              <w:t>Registration of Hydropower Developers.</w:t>
            </w:r>
            <w:r w:rsidRPr="00D51AE5">
              <w:t xml:space="preserve"> The DOE, through the REMB, shall issue a COR to a Hydropower Developer holding a valid HSC for purposes of entitlement to the incentives under Chapter IX of this Circular upon the issuance of the COCOC. Notwithstanding the foregoing, the issuance of a COR may be availed of upon the award of the HSC, at the option of the Hydropower Developer.</w:t>
            </w:r>
          </w:p>
        </w:tc>
        <w:tc>
          <w:tcPr>
            <w:tcW w:w="3590" w:type="dxa"/>
          </w:tcPr>
          <w:p w14:paraId="6D367BE6" w14:textId="77777777" w:rsidR="006C4239" w:rsidRPr="006A1E11" w:rsidRDefault="006C4239" w:rsidP="006A1E11">
            <w:pPr>
              <w:ind w:left="1080"/>
              <w:jc w:val="both"/>
              <w:rPr>
                <w:b/>
                <w:bCs/>
              </w:rPr>
            </w:pPr>
          </w:p>
        </w:tc>
        <w:tc>
          <w:tcPr>
            <w:tcW w:w="4267" w:type="dxa"/>
          </w:tcPr>
          <w:p w14:paraId="02B58B75" w14:textId="77777777" w:rsidR="006C4239" w:rsidRPr="006A1E11" w:rsidRDefault="006C4239" w:rsidP="006A1E11">
            <w:pPr>
              <w:ind w:left="1080"/>
              <w:jc w:val="both"/>
              <w:rPr>
                <w:b/>
                <w:bCs/>
              </w:rPr>
            </w:pPr>
          </w:p>
        </w:tc>
      </w:tr>
      <w:tr w:rsidR="006C4239" w:rsidRPr="00D51AE5" w14:paraId="4CD331A6" w14:textId="60A7847D" w:rsidTr="007639A7">
        <w:tc>
          <w:tcPr>
            <w:tcW w:w="6044" w:type="dxa"/>
          </w:tcPr>
          <w:p w14:paraId="38A27E47" w14:textId="77777777" w:rsidR="006C4239" w:rsidRPr="00D51AE5" w:rsidRDefault="006C4239" w:rsidP="006C4239">
            <w:pPr>
              <w:jc w:val="both"/>
              <w:rPr>
                <w:rFonts w:ascii="Arial" w:hAnsi="Arial" w:cs="Arial"/>
              </w:rPr>
            </w:pPr>
            <w:r w:rsidRPr="00D51AE5">
              <w:rPr>
                <w:rFonts w:ascii="Arial" w:hAnsi="Arial" w:cs="Arial"/>
                <w:b/>
                <w:bCs/>
              </w:rPr>
              <w:t>Section 8. Types of Hydropower Projects.</w:t>
            </w:r>
            <w:r w:rsidRPr="00D51AE5">
              <w:rPr>
                <w:rFonts w:ascii="Arial" w:hAnsi="Arial" w:cs="Arial"/>
              </w:rPr>
              <w:t xml:space="preserve"> Hydropower projects shall include, but not be limited to:</w:t>
            </w:r>
          </w:p>
        </w:tc>
        <w:tc>
          <w:tcPr>
            <w:tcW w:w="3590" w:type="dxa"/>
          </w:tcPr>
          <w:p w14:paraId="70971938" w14:textId="77777777" w:rsidR="006C4239" w:rsidRPr="006A1E11" w:rsidRDefault="006C4239" w:rsidP="006A1E11">
            <w:pPr>
              <w:ind w:left="360"/>
              <w:jc w:val="both"/>
              <w:rPr>
                <w:b/>
                <w:bCs/>
              </w:rPr>
            </w:pPr>
          </w:p>
        </w:tc>
        <w:tc>
          <w:tcPr>
            <w:tcW w:w="4267" w:type="dxa"/>
          </w:tcPr>
          <w:p w14:paraId="159292EB" w14:textId="77777777" w:rsidR="006C4239" w:rsidRPr="006A1E11" w:rsidRDefault="006C4239" w:rsidP="006A1E11">
            <w:pPr>
              <w:ind w:left="360"/>
              <w:jc w:val="both"/>
              <w:rPr>
                <w:b/>
                <w:bCs/>
              </w:rPr>
            </w:pPr>
          </w:p>
        </w:tc>
      </w:tr>
      <w:tr w:rsidR="006C4239" w:rsidRPr="00D51AE5" w14:paraId="5E7DFB4F" w14:textId="06785403" w:rsidTr="007639A7">
        <w:tc>
          <w:tcPr>
            <w:tcW w:w="6044" w:type="dxa"/>
          </w:tcPr>
          <w:p w14:paraId="5D248E8F" w14:textId="77777777" w:rsidR="006C4239" w:rsidRPr="00D51AE5" w:rsidRDefault="006C4239" w:rsidP="006C4239">
            <w:pPr>
              <w:pStyle w:val="ListParagraph"/>
              <w:numPr>
                <w:ilvl w:val="1"/>
                <w:numId w:val="26"/>
              </w:numPr>
              <w:jc w:val="both"/>
            </w:pPr>
            <w:r w:rsidRPr="00D51AE5">
              <w:t>Run-of-River (ROR) – diverts a portion of a river through a canal and/or a penstock, to spin a turbine which activates a generator to produce electricity. ROR hydropower plants utilizes a weir and does not require the use of a large dam or reservoir;</w:t>
            </w:r>
          </w:p>
        </w:tc>
        <w:tc>
          <w:tcPr>
            <w:tcW w:w="3590" w:type="dxa"/>
          </w:tcPr>
          <w:p w14:paraId="497DB4E9" w14:textId="77777777" w:rsidR="006C4239" w:rsidRPr="006A1E11" w:rsidRDefault="006C4239" w:rsidP="006A1E11">
            <w:pPr>
              <w:ind w:left="1080"/>
              <w:jc w:val="both"/>
            </w:pPr>
          </w:p>
        </w:tc>
        <w:tc>
          <w:tcPr>
            <w:tcW w:w="4267" w:type="dxa"/>
          </w:tcPr>
          <w:p w14:paraId="513BA28C" w14:textId="77777777" w:rsidR="006C4239" w:rsidRPr="006A1E11" w:rsidRDefault="006C4239" w:rsidP="006A1E11">
            <w:pPr>
              <w:ind w:left="1080"/>
              <w:jc w:val="both"/>
            </w:pPr>
          </w:p>
        </w:tc>
      </w:tr>
      <w:tr w:rsidR="006C4239" w:rsidRPr="00D51AE5" w14:paraId="2B1E1DFF" w14:textId="1CAC5245" w:rsidTr="007639A7">
        <w:tc>
          <w:tcPr>
            <w:tcW w:w="6044" w:type="dxa"/>
          </w:tcPr>
          <w:p w14:paraId="5CD9D06F" w14:textId="77777777" w:rsidR="006C4239" w:rsidRPr="00D51AE5" w:rsidRDefault="006C4239" w:rsidP="006C4239">
            <w:pPr>
              <w:pStyle w:val="ListParagraph"/>
              <w:numPr>
                <w:ilvl w:val="1"/>
                <w:numId w:val="26"/>
              </w:numPr>
              <w:jc w:val="both"/>
            </w:pPr>
            <w:r w:rsidRPr="00D51AE5">
              <w:t>Impoundment – uses a large dam to store or impound river water in a reservoir. Water may be released to serve as base load to meet changing electricity demand for weeks or even months; and</w:t>
            </w:r>
          </w:p>
        </w:tc>
        <w:tc>
          <w:tcPr>
            <w:tcW w:w="3590" w:type="dxa"/>
          </w:tcPr>
          <w:p w14:paraId="13434464" w14:textId="77777777" w:rsidR="006C4239" w:rsidRPr="006A1E11" w:rsidRDefault="006C4239" w:rsidP="006A1E11">
            <w:pPr>
              <w:ind w:left="1080"/>
              <w:jc w:val="both"/>
            </w:pPr>
          </w:p>
        </w:tc>
        <w:tc>
          <w:tcPr>
            <w:tcW w:w="4267" w:type="dxa"/>
          </w:tcPr>
          <w:p w14:paraId="19DCDB10" w14:textId="77777777" w:rsidR="006C4239" w:rsidRPr="006A1E11" w:rsidRDefault="006C4239" w:rsidP="006A1E11">
            <w:pPr>
              <w:ind w:left="1080"/>
              <w:jc w:val="both"/>
            </w:pPr>
          </w:p>
        </w:tc>
      </w:tr>
      <w:tr w:rsidR="006C4239" w:rsidRPr="00D51AE5" w14:paraId="1E895CCF" w14:textId="2CC49653" w:rsidTr="007639A7">
        <w:tc>
          <w:tcPr>
            <w:tcW w:w="6044" w:type="dxa"/>
          </w:tcPr>
          <w:p w14:paraId="36D4D8AE" w14:textId="77777777" w:rsidR="006C4239" w:rsidRPr="00D51AE5" w:rsidRDefault="006C4239" w:rsidP="006C4239">
            <w:pPr>
              <w:pStyle w:val="ListParagraph"/>
              <w:numPr>
                <w:ilvl w:val="1"/>
                <w:numId w:val="26"/>
              </w:numPr>
              <w:jc w:val="both"/>
            </w:pPr>
            <w:r w:rsidRPr="00D51AE5">
              <w:t>Pumped Storage – stores and generates power by moving water between two or more reservoirs at different elevations. When the demand for electricity is low, a pumped storage facility pumps water from a lower reservoir to the upper reservoir for later use.  During periods of high electrical demand, the water is released back to the lower reservoir in order to generate electricity.</w:t>
            </w:r>
          </w:p>
        </w:tc>
        <w:tc>
          <w:tcPr>
            <w:tcW w:w="3590" w:type="dxa"/>
          </w:tcPr>
          <w:p w14:paraId="6677CCD8" w14:textId="77777777" w:rsidR="006C4239" w:rsidRPr="006A1E11" w:rsidRDefault="006C4239" w:rsidP="006A1E11">
            <w:pPr>
              <w:ind w:left="1080"/>
              <w:jc w:val="both"/>
            </w:pPr>
          </w:p>
        </w:tc>
        <w:tc>
          <w:tcPr>
            <w:tcW w:w="4267" w:type="dxa"/>
          </w:tcPr>
          <w:p w14:paraId="0CC7A7A0" w14:textId="77777777" w:rsidR="006C4239" w:rsidRPr="006A1E11" w:rsidRDefault="006C4239" w:rsidP="006A1E11">
            <w:pPr>
              <w:ind w:left="1080"/>
              <w:jc w:val="both"/>
            </w:pPr>
          </w:p>
        </w:tc>
      </w:tr>
      <w:tr w:rsidR="006C4239" w:rsidRPr="00D51AE5" w14:paraId="5D2B7EB9" w14:textId="0F972877" w:rsidTr="007639A7">
        <w:tc>
          <w:tcPr>
            <w:tcW w:w="6044" w:type="dxa"/>
          </w:tcPr>
          <w:p w14:paraId="40BAE68D" w14:textId="77777777" w:rsidR="006C4239" w:rsidRPr="00D51AE5" w:rsidRDefault="006C4239" w:rsidP="006C4239">
            <w:pPr>
              <w:jc w:val="both"/>
              <w:rPr>
                <w:rFonts w:ascii="Arial" w:hAnsi="Arial" w:cs="Arial"/>
              </w:rPr>
            </w:pPr>
            <w:r w:rsidRPr="00D51AE5">
              <w:rPr>
                <w:rFonts w:ascii="Arial" w:hAnsi="Arial" w:cs="Arial"/>
                <w:b/>
                <w:bCs/>
              </w:rPr>
              <w:t>Section 9. Terms of Hydropower Service Contract.</w:t>
            </w:r>
            <w:r w:rsidRPr="00D51AE5">
              <w:rPr>
                <w:rFonts w:ascii="Arial" w:hAnsi="Arial" w:cs="Arial"/>
              </w:rPr>
              <w:t xml:space="preserve"> The development of hydropower resources shall be covered by an HSC following the prescribed template (Annex D).</w:t>
            </w:r>
          </w:p>
        </w:tc>
        <w:tc>
          <w:tcPr>
            <w:tcW w:w="3590" w:type="dxa"/>
          </w:tcPr>
          <w:p w14:paraId="3BD6D8F1" w14:textId="77777777" w:rsidR="006C4239" w:rsidRPr="006A1E11" w:rsidRDefault="006C4239" w:rsidP="006A1E11">
            <w:pPr>
              <w:ind w:left="360"/>
              <w:jc w:val="both"/>
              <w:rPr>
                <w:b/>
                <w:bCs/>
              </w:rPr>
            </w:pPr>
          </w:p>
        </w:tc>
        <w:tc>
          <w:tcPr>
            <w:tcW w:w="4267" w:type="dxa"/>
          </w:tcPr>
          <w:p w14:paraId="34F81281" w14:textId="77777777" w:rsidR="006C4239" w:rsidRPr="006A1E11" w:rsidRDefault="006C4239" w:rsidP="006A1E11">
            <w:pPr>
              <w:ind w:left="360"/>
              <w:jc w:val="both"/>
              <w:rPr>
                <w:b/>
                <w:bCs/>
              </w:rPr>
            </w:pPr>
          </w:p>
        </w:tc>
      </w:tr>
      <w:tr w:rsidR="006C4239" w:rsidRPr="00D51AE5" w14:paraId="45A15DD2" w14:textId="3C697C01" w:rsidTr="007639A7">
        <w:tc>
          <w:tcPr>
            <w:tcW w:w="6044" w:type="dxa"/>
          </w:tcPr>
          <w:p w14:paraId="68A96555" w14:textId="77777777" w:rsidR="006C4239" w:rsidRPr="00D51AE5" w:rsidRDefault="006C4239" w:rsidP="006C4239">
            <w:pPr>
              <w:pStyle w:val="ListParagraph"/>
              <w:numPr>
                <w:ilvl w:val="1"/>
                <w:numId w:val="27"/>
              </w:numPr>
              <w:jc w:val="both"/>
            </w:pPr>
            <w:r w:rsidRPr="00D51AE5">
              <w:t>The Hydropower Developer shall be given a non-extendible period of three (3) years, in the case of run-of-river, and five (5) years, in the case of impoundment and pumped storage, from the date of execution of the HSC to determine the existence of hydropower resource in Commercial Quantities and shall be called Pre-Development Stage.</w:t>
            </w:r>
          </w:p>
        </w:tc>
        <w:tc>
          <w:tcPr>
            <w:tcW w:w="3590" w:type="dxa"/>
          </w:tcPr>
          <w:p w14:paraId="15776AAE" w14:textId="77777777" w:rsidR="006C4239" w:rsidRPr="006A1E11" w:rsidRDefault="006C4239" w:rsidP="006A1E11">
            <w:pPr>
              <w:ind w:left="1080"/>
              <w:jc w:val="both"/>
            </w:pPr>
          </w:p>
        </w:tc>
        <w:tc>
          <w:tcPr>
            <w:tcW w:w="4267" w:type="dxa"/>
          </w:tcPr>
          <w:p w14:paraId="35C6F653" w14:textId="77777777" w:rsidR="006C4239" w:rsidRPr="006A1E11" w:rsidRDefault="006C4239" w:rsidP="006A1E11">
            <w:pPr>
              <w:ind w:left="1080"/>
              <w:jc w:val="both"/>
            </w:pPr>
          </w:p>
        </w:tc>
      </w:tr>
      <w:tr w:rsidR="006C4239" w:rsidRPr="00D51AE5" w14:paraId="133311C6" w14:textId="0026FC21" w:rsidTr="007639A7">
        <w:tc>
          <w:tcPr>
            <w:tcW w:w="6044" w:type="dxa"/>
          </w:tcPr>
          <w:p w14:paraId="3BF3CE03" w14:textId="77777777" w:rsidR="006C4239" w:rsidRPr="00D51AE5" w:rsidRDefault="006C4239" w:rsidP="006C4239">
            <w:pPr>
              <w:pStyle w:val="ListParagraph"/>
              <w:numPr>
                <w:ilvl w:val="1"/>
                <w:numId w:val="27"/>
              </w:numPr>
              <w:jc w:val="both"/>
            </w:pPr>
            <w:r w:rsidRPr="00D51AE5">
              <w:t>The Development/Commercial Stage shall commence prior to the expiration of the Pre-Development Stage and upon the issuance of the Certificate of Confirmation of Commerciality (COCOC), and shall continue for the remainder of term of the HSC.</w:t>
            </w:r>
          </w:p>
        </w:tc>
        <w:tc>
          <w:tcPr>
            <w:tcW w:w="3590" w:type="dxa"/>
          </w:tcPr>
          <w:p w14:paraId="46161953" w14:textId="77777777" w:rsidR="006C4239" w:rsidRPr="006A1E11" w:rsidRDefault="006C4239" w:rsidP="006A1E11">
            <w:pPr>
              <w:ind w:left="1080"/>
              <w:jc w:val="both"/>
            </w:pPr>
          </w:p>
        </w:tc>
        <w:tc>
          <w:tcPr>
            <w:tcW w:w="4267" w:type="dxa"/>
          </w:tcPr>
          <w:p w14:paraId="72A33429" w14:textId="77777777" w:rsidR="006C4239" w:rsidRPr="006A1E11" w:rsidRDefault="006C4239" w:rsidP="006A1E11">
            <w:pPr>
              <w:ind w:left="1080"/>
              <w:jc w:val="both"/>
            </w:pPr>
          </w:p>
        </w:tc>
      </w:tr>
      <w:tr w:rsidR="006C4239" w:rsidRPr="00D51AE5" w14:paraId="1700ED81" w14:textId="499E4BCE" w:rsidTr="007639A7">
        <w:tc>
          <w:tcPr>
            <w:tcW w:w="6044" w:type="dxa"/>
          </w:tcPr>
          <w:p w14:paraId="285D1BD1" w14:textId="77777777" w:rsidR="006C4239" w:rsidRPr="00D51AE5" w:rsidRDefault="006C4239" w:rsidP="006C4239">
            <w:pPr>
              <w:pStyle w:val="ListParagraph"/>
              <w:numPr>
                <w:ilvl w:val="1"/>
                <w:numId w:val="27"/>
              </w:numPr>
              <w:jc w:val="both"/>
            </w:pPr>
            <w:r w:rsidRPr="00D51AE5">
              <w:t>The HSC shall have a term of twenty-five (25) years from the date of execution, which shall include the Pre-Development Stage and Development/Commercial Stage but shall exclude the period covered by the Certificate of Authority.</w:t>
            </w:r>
          </w:p>
        </w:tc>
        <w:tc>
          <w:tcPr>
            <w:tcW w:w="3590" w:type="dxa"/>
          </w:tcPr>
          <w:p w14:paraId="5B6DB7C7" w14:textId="77777777" w:rsidR="006C4239" w:rsidRPr="006A1E11" w:rsidRDefault="006C4239" w:rsidP="006A1E11">
            <w:pPr>
              <w:ind w:left="1080"/>
              <w:jc w:val="both"/>
            </w:pPr>
          </w:p>
        </w:tc>
        <w:tc>
          <w:tcPr>
            <w:tcW w:w="4267" w:type="dxa"/>
          </w:tcPr>
          <w:p w14:paraId="58CEF98C" w14:textId="77777777" w:rsidR="006C4239" w:rsidRPr="006A1E11" w:rsidRDefault="006C4239" w:rsidP="006A1E11">
            <w:pPr>
              <w:ind w:left="1080"/>
              <w:jc w:val="both"/>
            </w:pPr>
          </w:p>
        </w:tc>
      </w:tr>
      <w:tr w:rsidR="006C4239" w:rsidRPr="00D51AE5" w14:paraId="5250FC67" w14:textId="6160C4AC" w:rsidTr="007639A7">
        <w:tc>
          <w:tcPr>
            <w:tcW w:w="6044" w:type="dxa"/>
          </w:tcPr>
          <w:p w14:paraId="24E3CD8A" w14:textId="77777777" w:rsidR="006C4239" w:rsidRPr="00D51AE5" w:rsidRDefault="006C4239" w:rsidP="006C4239">
            <w:pPr>
              <w:pStyle w:val="ListParagraph"/>
              <w:numPr>
                <w:ilvl w:val="1"/>
                <w:numId w:val="27"/>
              </w:numPr>
              <w:jc w:val="both"/>
            </w:pPr>
            <w:r w:rsidRPr="00D51AE5">
              <w:t>Not earlier than six (6) months prior to the expiration of the twenty-five (25) year period, the HSC may be renewed for another twenty-five (25) years, subject to the terms and conditions of the HSC.</w:t>
            </w:r>
          </w:p>
        </w:tc>
        <w:tc>
          <w:tcPr>
            <w:tcW w:w="3590" w:type="dxa"/>
          </w:tcPr>
          <w:p w14:paraId="6A13C13E" w14:textId="77777777" w:rsidR="006C4239" w:rsidRPr="006A1E11" w:rsidRDefault="006C4239" w:rsidP="006A1E11">
            <w:pPr>
              <w:ind w:left="1080"/>
              <w:jc w:val="both"/>
            </w:pPr>
          </w:p>
        </w:tc>
        <w:tc>
          <w:tcPr>
            <w:tcW w:w="4267" w:type="dxa"/>
          </w:tcPr>
          <w:p w14:paraId="5865F12B" w14:textId="77777777" w:rsidR="006C4239" w:rsidRPr="006A1E11" w:rsidRDefault="006C4239" w:rsidP="006A1E11">
            <w:pPr>
              <w:ind w:left="1080"/>
              <w:jc w:val="both"/>
            </w:pPr>
          </w:p>
        </w:tc>
      </w:tr>
      <w:tr w:rsidR="006C4239" w:rsidRPr="00D51AE5" w14:paraId="4B26F779" w14:textId="5DE3449C" w:rsidTr="007639A7">
        <w:tc>
          <w:tcPr>
            <w:tcW w:w="6044" w:type="dxa"/>
          </w:tcPr>
          <w:p w14:paraId="6A90AC18" w14:textId="77777777" w:rsidR="006C4239" w:rsidRPr="00D51AE5" w:rsidRDefault="006C4239" w:rsidP="006C4239">
            <w:pPr>
              <w:jc w:val="both"/>
              <w:rPr>
                <w:rFonts w:ascii="Arial" w:hAnsi="Arial" w:cs="Arial"/>
                <w:b/>
                <w:bCs/>
              </w:rPr>
            </w:pPr>
            <w:r w:rsidRPr="00D51AE5">
              <w:rPr>
                <w:rFonts w:ascii="Arial" w:hAnsi="Arial" w:cs="Arial"/>
                <w:b/>
                <w:bCs/>
              </w:rPr>
              <w:t>Section 10. Stages of Hydropower Contract.</w:t>
            </w:r>
          </w:p>
        </w:tc>
        <w:tc>
          <w:tcPr>
            <w:tcW w:w="3590" w:type="dxa"/>
          </w:tcPr>
          <w:p w14:paraId="09782010" w14:textId="77777777" w:rsidR="006C4239" w:rsidRPr="006A1E11" w:rsidRDefault="006C4239" w:rsidP="006A1E11">
            <w:pPr>
              <w:ind w:left="360"/>
              <w:jc w:val="both"/>
              <w:rPr>
                <w:b/>
                <w:bCs/>
              </w:rPr>
            </w:pPr>
          </w:p>
        </w:tc>
        <w:tc>
          <w:tcPr>
            <w:tcW w:w="4267" w:type="dxa"/>
          </w:tcPr>
          <w:p w14:paraId="72CBECC9" w14:textId="77777777" w:rsidR="006C4239" w:rsidRPr="006A1E11" w:rsidRDefault="006C4239" w:rsidP="006A1E11">
            <w:pPr>
              <w:ind w:left="360"/>
              <w:jc w:val="both"/>
              <w:rPr>
                <w:b/>
                <w:bCs/>
              </w:rPr>
            </w:pPr>
          </w:p>
        </w:tc>
      </w:tr>
      <w:tr w:rsidR="006C4239" w:rsidRPr="00D51AE5" w14:paraId="1FF1A724" w14:textId="549FE75D" w:rsidTr="007639A7">
        <w:tc>
          <w:tcPr>
            <w:tcW w:w="6044" w:type="dxa"/>
          </w:tcPr>
          <w:p w14:paraId="30F0C63C" w14:textId="77777777" w:rsidR="006C4239" w:rsidRPr="00D51AE5" w:rsidRDefault="006C4239" w:rsidP="006C4239">
            <w:pPr>
              <w:pStyle w:val="ListParagraph"/>
              <w:numPr>
                <w:ilvl w:val="1"/>
                <w:numId w:val="28"/>
              </w:numPr>
              <w:ind w:left="709"/>
              <w:jc w:val="both"/>
            </w:pPr>
            <w:r w:rsidRPr="00D51AE5">
              <w:rPr>
                <w:b/>
                <w:bCs/>
              </w:rPr>
              <w:t>Stages of a Hydropower Operating Contract.</w:t>
            </w:r>
            <w:r w:rsidRPr="00D51AE5">
              <w:t xml:space="preserve"> An HOC shall cover only the Development/Commercial Stage, which involves the development, construction and installation and commercial operation of the hydropower project, including the achievement of Financial Closing.</w:t>
            </w:r>
          </w:p>
        </w:tc>
        <w:tc>
          <w:tcPr>
            <w:tcW w:w="3590" w:type="dxa"/>
          </w:tcPr>
          <w:p w14:paraId="354B2C80" w14:textId="77777777" w:rsidR="006C4239" w:rsidRPr="006A1E11" w:rsidRDefault="006C4239" w:rsidP="006A1E11">
            <w:pPr>
              <w:ind w:left="1080"/>
              <w:jc w:val="both"/>
              <w:rPr>
                <w:b/>
                <w:bCs/>
              </w:rPr>
            </w:pPr>
          </w:p>
        </w:tc>
        <w:tc>
          <w:tcPr>
            <w:tcW w:w="4267" w:type="dxa"/>
          </w:tcPr>
          <w:p w14:paraId="157BCD0E" w14:textId="77777777" w:rsidR="006C4239" w:rsidRPr="006A1E11" w:rsidRDefault="006C4239" w:rsidP="006A1E11">
            <w:pPr>
              <w:ind w:left="1080"/>
              <w:jc w:val="both"/>
              <w:rPr>
                <w:b/>
                <w:bCs/>
              </w:rPr>
            </w:pPr>
          </w:p>
        </w:tc>
      </w:tr>
      <w:tr w:rsidR="006C4239" w:rsidRPr="00D51AE5" w14:paraId="3F64D697" w14:textId="3E0FFD5B" w:rsidTr="007639A7">
        <w:tc>
          <w:tcPr>
            <w:tcW w:w="6044" w:type="dxa"/>
          </w:tcPr>
          <w:p w14:paraId="2352ED43" w14:textId="77777777" w:rsidR="006C4239" w:rsidRPr="00D51AE5" w:rsidRDefault="006C4239" w:rsidP="006C4239">
            <w:pPr>
              <w:pStyle w:val="ListParagraph"/>
              <w:numPr>
                <w:ilvl w:val="1"/>
                <w:numId w:val="28"/>
              </w:numPr>
              <w:ind w:left="709"/>
              <w:jc w:val="both"/>
            </w:pPr>
            <w:r w:rsidRPr="00D51AE5">
              <w:rPr>
                <w:b/>
                <w:bCs/>
              </w:rPr>
              <w:t>Stages of a Hydropower Service Contract.</w:t>
            </w:r>
            <w:r w:rsidRPr="00D51AE5">
              <w:t xml:space="preserve"> An HSC shall cover two (2) stages of the hydropower project, namely:</w:t>
            </w:r>
          </w:p>
        </w:tc>
        <w:tc>
          <w:tcPr>
            <w:tcW w:w="3590" w:type="dxa"/>
          </w:tcPr>
          <w:p w14:paraId="1C7500CA" w14:textId="77777777" w:rsidR="006C4239" w:rsidRPr="006A1E11" w:rsidRDefault="006C4239" w:rsidP="006A1E11">
            <w:pPr>
              <w:ind w:left="1080"/>
              <w:jc w:val="both"/>
              <w:rPr>
                <w:b/>
                <w:bCs/>
              </w:rPr>
            </w:pPr>
          </w:p>
        </w:tc>
        <w:tc>
          <w:tcPr>
            <w:tcW w:w="4267" w:type="dxa"/>
          </w:tcPr>
          <w:p w14:paraId="06774F59" w14:textId="77777777" w:rsidR="006C4239" w:rsidRPr="006A1E11" w:rsidRDefault="006C4239" w:rsidP="006A1E11">
            <w:pPr>
              <w:ind w:left="1080"/>
              <w:jc w:val="both"/>
              <w:rPr>
                <w:b/>
                <w:bCs/>
              </w:rPr>
            </w:pPr>
          </w:p>
        </w:tc>
      </w:tr>
      <w:tr w:rsidR="006C4239" w:rsidRPr="00D51AE5" w14:paraId="3AD34038" w14:textId="450B819F" w:rsidTr="007639A7">
        <w:tc>
          <w:tcPr>
            <w:tcW w:w="6044" w:type="dxa"/>
          </w:tcPr>
          <w:p w14:paraId="2B56C513" w14:textId="77777777" w:rsidR="006C4239" w:rsidRPr="00D51AE5" w:rsidRDefault="006C4239" w:rsidP="006C4239">
            <w:pPr>
              <w:pStyle w:val="ListParagraph"/>
              <w:numPr>
                <w:ilvl w:val="0"/>
                <w:numId w:val="29"/>
              </w:numPr>
              <w:ind w:left="1276" w:hanging="425"/>
              <w:jc w:val="both"/>
            </w:pPr>
            <w:r w:rsidRPr="00D51AE5">
              <w:t>Pre-Development Stage. Involves the conduct of preliminary assessment and feasibility study up to Financial Closing and Declaration of Commerciality (DOC) of the hydropower project, including the identification of the proposed Production Area; and</w:t>
            </w:r>
          </w:p>
        </w:tc>
        <w:tc>
          <w:tcPr>
            <w:tcW w:w="3590" w:type="dxa"/>
          </w:tcPr>
          <w:p w14:paraId="36609DAB" w14:textId="77777777" w:rsidR="006C4239" w:rsidRPr="006A1E11" w:rsidRDefault="006C4239" w:rsidP="006A1E11">
            <w:pPr>
              <w:ind w:left="360"/>
              <w:jc w:val="both"/>
            </w:pPr>
          </w:p>
        </w:tc>
        <w:tc>
          <w:tcPr>
            <w:tcW w:w="4267" w:type="dxa"/>
          </w:tcPr>
          <w:p w14:paraId="6578904B" w14:textId="77777777" w:rsidR="006C4239" w:rsidRPr="006A1E11" w:rsidRDefault="006C4239" w:rsidP="006A1E11">
            <w:pPr>
              <w:ind w:left="360"/>
              <w:jc w:val="both"/>
            </w:pPr>
          </w:p>
        </w:tc>
      </w:tr>
      <w:tr w:rsidR="006C4239" w:rsidRPr="00D51AE5" w14:paraId="008C9232" w14:textId="6D661004" w:rsidTr="007639A7">
        <w:tc>
          <w:tcPr>
            <w:tcW w:w="6044" w:type="dxa"/>
          </w:tcPr>
          <w:p w14:paraId="555387C6" w14:textId="77777777" w:rsidR="006C4239" w:rsidRPr="00D51AE5" w:rsidRDefault="006C4239" w:rsidP="006C4239">
            <w:pPr>
              <w:pStyle w:val="ListParagraph"/>
              <w:numPr>
                <w:ilvl w:val="0"/>
                <w:numId w:val="29"/>
              </w:numPr>
              <w:ind w:left="1276" w:hanging="425"/>
              <w:jc w:val="both"/>
            </w:pPr>
            <w:r w:rsidRPr="00D51AE5">
              <w:t>Development/Commercial Stage. Involves the development, construction, and commercial operation of the hydropower project, production, and</w:t>
            </w:r>
          </w:p>
        </w:tc>
        <w:tc>
          <w:tcPr>
            <w:tcW w:w="3590" w:type="dxa"/>
          </w:tcPr>
          <w:p w14:paraId="155EDECB" w14:textId="77777777" w:rsidR="006C4239" w:rsidRPr="006A1E11" w:rsidRDefault="006C4239" w:rsidP="006A1E11">
            <w:pPr>
              <w:ind w:left="360"/>
              <w:jc w:val="both"/>
            </w:pPr>
          </w:p>
        </w:tc>
        <w:tc>
          <w:tcPr>
            <w:tcW w:w="4267" w:type="dxa"/>
          </w:tcPr>
          <w:p w14:paraId="7F815C77" w14:textId="77777777" w:rsidR="006C4239" w:rsidRPr="006A1E11" w:rsidRDefault="006C4239" w:rsidP="006A1E11">
            <w:pPr>
              <w:ind w:left="360"/>
              <w:jc w:val="both"/>
            </w:pPr>
          </w:p>
        </w:tc>
      </w:tr>
      <w:tr w:rsidR="006C4239" w:rsidRPr="00D51AE5" w14:paraId="141EFAB1" w14:textId="23DCD0C9" w:rsidTr="007639A7">
        <w:tc>
          <w:tcPr>
            <w:tcW w:w="6044" w:type="dxa"/>
          </w:tcPr>
          <w:p w14:paraId="770EF6CC" w14:textId="77777777" w:rsidR="006C4239" w:rsidRPr="00D51AE5" w:rsidRDefault="006C4239" w:rsidP="006C4239">
            <w:pPr>
              <w:contextualSpacing/>
              <w:jc w:val="both"/>
              <w:outlineLvl w:val="1"/>
              <w:rPr>
                <w:rFonts w:ascii="Arial" w:hAnsi="Arial" w:cs="Arial"/>
              </w:rPr>
            </w:pPr>
            <w:r w:rsidRPr="00D51AE5">
              <w:rPr>
                <w:rFonts w:ascii="Arial" w:hAnsi="Arial" w:cs="Arial"/>
                <w:b/>
                <w:bCs/>
              </w:rPr>
              <w:t xml:space="preserve">Section 11. Conversion of Existing Hydropower Service Contract. </w:t>
            </w:r>
            <w:r w:rsidRPr="00D51AE5">
              <w:rPr>
                <w:rFonts w:ascii="Arial" w:hAnsi="Arial" w:cs="Arial"/>
              </w:rPr>
              <w:t>For existing hydropower projects that have been operating prior to the effectivity of the RE Act pursuant to contracts issued under the relevant preceding laws and those that have been issued HSCs after the RE Act but prior to this Circular, the contract holder may elect to convert its service contract or agreement by applying for an HSC under this Circular, within one (1) year from the effectivity of this Circular. However, the period of the HSC to be issued in relation thereto shall be the balance of the contract term remaining under the existing and valid service/operating contract or agreement. The requirements and procedures for conversion to HSC templates in Annex D is provided in Section 4</w:t>
            </w:r>
            <w:r w:rsidRPr="00D51AE5">
              <w:rPr>
                <w:rFonts w:ascii="Arial" w:hAnsi="Arial" w:cs="Arial"/>
                <w:color w:val="FF0000"/>
              </w:rPr>
              <w:t xml:space="preserve"> </w:t>
            </w:r>
            <w:r w:rsidRPr="00D51AE5">
              <w:rPr>
                <w:rFonts w:ascii="Arial" w:hAnsi="Arial" w:cs="Arial"/>
              </w:rPr>
              <w:t>of Chapter 7 of this circular.</w:t>
            </w:r>
          </w:p>
        </w:tc>
        <w:tc>
          <w:tcPr>
            <w:tcW w:w="3590" w:type="dxa"/>
          </w:tcPr>
          <w:p w14:paraId="76552984" w14:textId="77777777" w:rsidR="006C4239" w:rsidRPr="006A1E11" w:rsidRDefault="006C4239" w:rsidP="006A1E11">
            <w:pPr>
              <w:ind w:left="360"/>
              <w:jc w:val="both"/>
              <w:outlineLvl w:val="1"/>
              <w:rPr>
                <w:b/>
                <w:bCs/>
              </w:rPr>
            </w:pPr>
          </w:p>
        </w:tc>
        <w:tc>
          <w:tcPr>
            <w:tcW w:w="4267" w:type="dxa"/>
          </w:tcPr>
          <w:p w14:paraId="694267BD" w14:textId="77777777" w:rsidR="006C4239" w:rsidRPr="006A1E11" w:rsidRDefault="006C4239" w:rsidP="006A1E11">
            <w:pPr>
              <w:ind w:left="360"/>
              <w:jc w:val="both"/>
              <w:outlineLvl w:val="1"/>
              <w:rPr>
                <w:b/>
                <w:bCs/>
              </w:rPr>
            </w:pPr>
          </w:p>
        </w:tc>
      </w:tr>
      <w:tr w:rsidR="006C4239" w:rsidRPr="00D51AE5" w14:paraId="09F15CCC" w14:textId="1590BB72" w:rsidTr="007639A7">
        <w:tc>
          <w:tcPr>
            <w:tcW w:w="6044" w:type="dxa"/>
          </w:tcPr>
          <w:p w14:paraId="78630630" w14:textId="77777777" w:rsidR="006C4239" w:rsidRPr="00D51AE5" w:rsidRDefault="006C4239" w:rsidP="006C4239">
            <w:pPr>
              <w:jc w:val="both"/>
              <w:rPr>
                <w:rFonts w:ascii="Arial" w:hAnsi="Arial" w:cs="Arial"/>
                <w:b/>
                <w:bCs/>
              </w:rPr>
            </w:pPr>
            <w:r w:rsidRPr="00D51AE5">
              <w:rPr>
                <w:rFonts w:ascii="Arial" w:hAnsi="Arial" w:cs="Arial"/>
                <w:b/>
                <w:bCs/>
              </w:rPr>
              <w:t>Section 12. Investment</w:t>
            </w:r>
          </w:p>
        </w:tc>
        <w:tc>
          <w:tcPr>
            <w:tcW w:w="3590" w:type="dxa"/>
          </w:tcPr>
          <w:p w14:paraId="707439B5" w14:textId="77777777" w:rsidR="006C4239" w:rsidRPr="006A1E11" w:rsidRDefault="006C4239" w:rsidP="006A1E11">
            <w:pPr>
              <w:ind w:left="360"/>
              <w:jc w:val="both"/>
              <w:rPr>
                <w:b/>
                <w:bCs/>
              </w:rPr>
            </w:pPr>
          </w:p>
        </w:tc>
        <w:tc>
          <w:tcPr>
            <w:tcW w:w="4267" w:type="dxa"/>
          </w:tcPr>
          <w:p w14:paraId="6C73B44A" w14:textId="77777777" w:rsidR="006C4239" w:rsidRPr="006A1E11" w:rsidRDefault="006C4239" w:rsidP="006A1E11">
            <w:pPr>
              <w:ind w:left="360"/>
              <w:jc w:val="both"/>
              <w:rPr>
                <w:b/>
                <w:bCs/>
              </w:rPr>
            </w:pPr>
          </w:p>
        </w:tc>
      </w:tr>
      <w:tr w:rsidR="006C4239" w:rsidRPr="00D51AE5" w14:paraId="08DFE0AB" w14:textId="7EBCA90F" w:rsidTr="007639A7">
        <w:tc>
          <w:tcPr>
            <w:tcW w:w="6044" w:type="dxa"/>
          </w:tcPr>
          <w:p w14:paraId="0B81AD3E" w14:textId="77777777" w:rsidR="006C4239" w:rsidRPr="00D51AE5" w:rsidRDefault="006C4239" w:rsidP="006C4239">
            <w:pPr>
              <w:pStyle w:val="ListParagraph"/>
              <w:numPr>
                <w:ilvl w:val="1"/>
                <w:numId w:val="30"/>
              </w:numPr>
              <w:ind w:left="709"/>
              <w:jc w:val="both"/>
              <w:rPr>
                <w:rFonts w:eastAsia="Arial"/>
              </w:rPr>
            </w:pPr>
            <w:r w:rsidRPr="00D51AE5">
              <w:rPr>
                <w:b/>
                <w:bCs/>
              </w:rPr>
              <w:t>New Investments.</w:t>
            </w:r>
            <w:r w:rsidRPr="00D51AE5">
              <w:t xml:space="preserve"> Hydropower Developers undertaking discovery, exploration, development and/or utilization of new hydropower resources or the development of new generation facilities within the Contract Area distinct from the originally registered operations may qualify as new projects, subject to setting up of new separate books of accounts. The Hydropower Developer may, upon its discretion, relinquish the Contract Area and apply for a new HSC over the area of new investment</w:t>
            </w:r>
            <w:r w:rsidRPr="00D51AE5">
              <w:rPr>
                <w:rFonts w:eastAsia="Arial"/>
              </w:rPr>
              <w:t>, subject to constitutional term limits.</w:t>
            </w:r>
          </w:p>
        </w:tc>
        <w:tc>
          <w:tcPr>
            <w:tcW w:w="3590" w:type="dxa"/>
          </w:tcPr>
          <w:p w14:paraId="7BC7D36F" w14:textId="77777777" w:rsidR="006C4239" w:rsidRPr="006A1E11" w:rsidRDefault="006C4239" w:rsidP="006A1E11">
            <w:pPr>
              <w:ind w:left="1080"/>
              <w:jc w:val="both"/>
              <w:rPr>
                <w:b/>
                <w:bCs/>
              </w:rPr>
            </w:pPr>
          </w:p>
        </w:tc>
        <w:tc>
          <w:tcPr>
            <w:tcW w:w="4267" w:type="dxa"/>
          </w:tcPr>
          <w:p w14:paraId="26AE9DE9" w14:textId="77777777" w:rsidR="006C4239" w:rsidRPr="006A1E11" w:rsidRDefault="006C4239" w:rsidP="006A1E11">
            <w:pPr>
              <w:ind w:left="1080"/>
              <w:jc w:val="both"/>
              <w:rPr>
                <w:b/>
                <w:bCs/>
              </w:rPr>
            </w:pPr>
          </w:p>
        </w:tc>
      </w:tr>
      <w:tr w:rsidR="006C4239" w:rsidRPr="00D51AE5" w14:paraId="25A05C4D" w14:textId="18717D63" w:rsidTr="007639A7">
        <w:tc>
          <w:tcPr>
            <w:tcW w:w="6044" w:type="dxa"/>
          </w:tcPr>
          <w:p w14:paraId="40F8D8C2" w14:textId="77777777" w:rsidR="006C4239" w:rsidRPr="00D51AE5" w:rsidRDefault="006C4239" w:rsidP="006C4239">
            <w:pPr>
              <w:pStyle w:val="ListParagraph"/>
              <w:numPr>
                <w:ilvl w:val="1"/>
                <w:numId w:val="30"/>
              </w:numPr>
              <w:ind w:left="709"/>
              <w:jc w:val="both"/>
              <w:rPr>
                <w:rFonts w:eastAsia="Arial"/>
              </w:rPr>
            </w:pPr>
            <w:r w:rsidRPr="00D51AE5">
              <w:rPr>
                <w:b/>
                <w:bCs/>
              </w:rPr>
              <w:t>Additional Investments.</w:t>
            </w:r>
            <w:r w:rsidRPr="00D51AE5">
              <w:t xml:space="preserve"> </w:t>
            </w:r>
            <w:r w:rsidRPr="00D51AE5">
              <w:rPr>
                <w:rFonts w:eastAsia="Times New Roman"/>
              </w:rPr>
              <w:t>Additional investment may cover investment for improvements, modernization, rehabilitation, or expansion duly registered with the DOE, which may or may not result in increased capacity, subject to the conditions to be determined by the DOE, such as</w:t>
            </w:r>
            <w:r w:rsidRPr="00D51AE5">
              <w:rPr>
                <w:rFonts w:eastAsia="Times New Roman"/>
                <w:b/>
              </w:rPr>
              <w:t>,</w:t>
            </w:r>
            <w:r w:rsidRPr="00D51AE5">
              <w:rPr>
                <w:rFonts w:eastAsia="Times New Roman"/>
              </w:rPr>
              <w:t xml:space="preserve"> but not limited to</w:t>
            </w:r>
            <w:r w:rsidRPr="00D51AE5">
              <w:rPr>
                <w:rFonts w:eastAsia="Times New Roman"/>
                <w:b/>
              </w:rPr>
              <w:t>,</w:t>
            </w:r>
            <w:r w:rsidRPr="00D51AE5">
              <w:rPr>
                <w:rFonts w:eastAsia="Times New Roman"/>
              </w:rPr>
              <w:t xml:space="preserve"> the following:</w:t>
            </w:r>
          </w:p>
        </w:tc>
        <w:tc>
          <w:tcPr>
            <w:tcW w:w="3590" w:type="dxa"/>
          </w:tcPr>
          <w:p w14:paraId="12E10F60" w14:textId="77777777" w:rsidR="006C4239" w:rsidRPr="006A1E11" w:rsidRDefault="006C4239" w:rsidP="006A1E11">
            <w:pPr>
              <w:ind w:left="1080"/>
              <w:jc w:val="both"/>
              <w:rPr>
                <w:b/>
                <w:bCs/>
              </w:rPr>
            </w:pPr>
          </w:p>
        </w:tc>
        <w:tc>
          <w:tcPr>
            <w:tcW w:w="4267" w:type="dxa"/>
          </w:tcPr>
          <w:p w14:paraId="54E3F3F0" w14:textId="77777777" w:rsidR="006C4239" w:rsidRPr="006A1E11" w:rsidRDefault="006C4239" w:rsidP="006A1E11">
            <w:pPr>
              <w:ind w:left="1080"/>
              <w:jc w:val="both"/>
              <w:rPr>
                <w:b/>
                <w:bCs/>
              </w:rPr>
            </w:pPr>
          </w:p>
        </w:tc>
      </w:tr>
      <w:tr w:rsidR="006C4239" w:rsidRPr="00D51AE5" w14:paraId="20D3DB2C" w14:textId="752283DC" w:rsidTr="007639A7">
        <w:tc>
          <w:tcPr>
            <w:tcW w:w="6044" w:type="dxa"/>
          </w:tcPr>
          <w:p w14:paraId="1401B6F0" w14:textId="77777777" w:rsidR="006C4239" w:rsidRPr="00D51AE5" w:rsidRDefault="006C4239" w:rsidP="006C4239">
            <w:pPr>
              <w:pStyle w:val="ListParagraph"/>
              <w:numPr>
                <w:ilvl w:val="0"/>
                <w:numId w:val="31"/>
              </w:numPr>
              <w:ind w:left="1276" w:hanging="425"/>
              <w:jc w:val="both"/>
              <w:rPr>
                <w:rFonts w:eastAsia="Times New Roman"/>
              </w:rPr>
            </w:pPr>
            <w:r w:rsidRPr="00D51AE5">
              <w:rPr>
                <w:rFonts w:eastAsia="Times New Roman"/>
              </w:rPr>
              <w:t>Identification of and investment in sequential phases/stages of production, or undertaking scheduled modernization or rehabilitation of the hydropower systems; and</w:t>
            </w:r>
          </w:p>
        </w:tc>
        <w:tc>
          <w:tcPr>
            <w:tcW w:w="3590" w:type="dxa"/>
          </w:tcPr>
          <w:p w14:paraId="3F5D85BB" w14:textId="77777777" w:rsidR="006C4239" w:rsidRPr="006A1E11" w:rsidRDefault="006C4239" w:rsidP="006A1E11">
            <w:pPr>
              <w:ind w:left="360"/>
              <w:jc w:val="both"/>
              <w:rPr>
                <w:rFonts w:eastAsia="Times New Roman"/>
              </w:rPr>
            </w:pPr>
          </w:p>
        </w:tc>
        <w:tc>
          <w:tcPr>
            <w:tcW w:w="4267" w:type="dxa"/>
          </w:tcPr>
          <w:p w14:paraId="48298755" w14:textId="77777777" w:rsidR="006C4239" w:rsidRPr="006A1E11" w:rsidRDefault="006C4239" w:rsidP="006A1E11">
            <w:pPr>
              <w:ind w:left="360"/>
              <w:jc w:val="both"/>
              <w:rPr>
                <w:rFonts w:eastAsia="Times New Roman"/>
              </w:rPr>
            </w:pPr>
          </w:p>
        </w:tc>
      </w:tr>
      <w:tr w:rsidR="006C4239" w:rsidRPr="00D51AE5" w14:paraId="6608C758" w14:textId="4573DC2E" w:rsidTr="007639A7">
        <w:tc>
          <w:tcPr>
            <w:tcW w:w="6044" w:type="dxa"/>
          </w:tcPr>
          <w:p w14:paraId="7A8BF37C" w14:textId="77777777" w:rsidR="006C4239" w:rsidRPr="00D51AE5" w:rsidRDefault="006C4239" w:rsidP="006C4239">
            <w:pPr>
              <w:pStyle w:val="ListParagraph"/>
              <w:numPr>
                <w:ilvl w:val="0"/>
                <w:numId w:val="31"/>
              </w:numPr>
              <w:ind w:left="1276" w:hanging="425"/>
              <w:jc w:val="both"/>
              <w:rPr>
                <w:rFonts w:eastAsia="Times New Roman"/>
              </w:rPr>
            </w:pPr>
            <w:r w:rsidRPr="00D51AE5">
              <w:rPr>
                <w:rFonts w:eastAsia="Times New Roman"/>
              </w:rPr>
              <w:t xml:space="preserve">Improvements to the hydropower systems such as reduced production/operational costs, increased production, improved operational efficiency, and better </w:t>
            </w:r>
            <w:r w:rsidRPr="00D51AE5">
              <w:rPr>
                <w:rFonts w:eastAsia="Times New Roman"/>
              </w:rPr>
              <w:softHyphen/>
              <w:t>reliability of the hydropower project.</w:t>
            </w:r>
          </w:p>
        </w:tc>
        <w:tc>
          <w:tcPr>
            <w:tcW w:w="3590" w:type="dxa"/>
          </w:tcPr>
          <w:p w14:paraId="16857F6A" w14:textId="77777777" w:rsidR="006C4239" w:rsidRPr="006A1E11" w:rsidRDefault="006C4239" w:rsidP="006A1E11">
            <w:pPr>
              <w:ind w:left="360"/>
              <w:jc w:val="both"/>
              <w:rPr>
                <w:rFonts w:eastAsia="Times New Roman"/>
              </w:rPr>
            </w:pPr>
          </w:p>
        </w:tc>
        <w:tc>
          <w:tcPr>
            <w:tcW w:w="4267" w:type="dxa"/>
          </w:tcPr>
          <w:p w14:paraId="08D29965" w14:textId="77777777" w:rsidR="006C4239" w:rsidRPr="006A1E11" w:rsidRDefault="006C4239" w:rsidP="006A1E11">
            <w:pPr>
              <w:ind w:left="360"/>
              <w:jc w:val="both"/>
              <w:rPr>
                <w:rFonts w:eastAsia="Times New Roman"/>
              </w:rPr>
            </w:pPr>
          </w:p>
        </w:tc>
      </w:tr>
      <w:tr w:rsidR="006C4239" w:rsidRPr="00D51AE5" w14:paraId="6CE8E6BD" w14:textId="4C56DE74" w:rsidTr="007639A7">
        <w:tc>
          <w:tcPr>
            <w:tcW w:w="6044" w:type="dxa"/>
          </w:tcPr>
          <w:p w14:paraId="3100206E" w14:textId="77777777" w:rsidR="006C4239" w:rsidRPr="00D51AE5" w:rsidRDefault="006C4239" w:rsidP="006C4239">
            <w:pPr>
              <w:jc w:val="both"/>
              <w:rPr>
                <w:rFonts w:ascii="Arial" w:hAnsi="Arial" w:cs="Arial"/>
              </w:rPr>
            </w:pPr>
            <w:r w:rsidRPr="00D51AE5">
              <w:rPr>
                <w:rFonts w:ascii="Arial" w:eastAsia="Arial" w:hAnsi="Arial" w:cs="Arial"/>
              </w:rPr>
              <w:t>If, by reason of the additional investment, the capacity of the hydropower project will be increased by at least thirty percent (30%), the Hydropower Developer shall have the option to pre-terminate its existing contract and enter into a new HSC, subject to constitutional term limits. Upon the award of the new HSC, the incentives under the RE Act shall be reset.</w:t>
            </w:r>
            <w:r w:rsidRPr="00D51AE5">
              <w:rPr>
                <w:rFonts w:ascii="Arial" w:hAnsi="Arial" w:cs="Arial"/>
              </w:rPr>
              <w:t xml:space="preserve"> </w:t>
            </w:r>
          </w:p>
        </w:tc>
        <w:tc>
          <w:tcPr>
            <w:tcW w:w="3590" w:type="dxa"/>
          </w:tcPr>
          <w:p w14:paraId="08FC97EE" w14:textId="77777777" w:rsidR="006C4239" w:rsidRPr="006A1E11" w:rsidRDefault="006C4239" w:rsidP="006A1E11">
            <w:pPr>
              <w:ind w:left="360"/>
              <w:jc w:val="both"/>
              <w:rPr>
                <w:rFonts w:eastAsia="Arial"/>
              </w:rPr>
            </w:pPr>
          </w:p>
        </w:tc>
        <w:tc>
          <w:tcPr>
            <w:tcW w:w="4267" w:type="dxa"/>
          </w:tcPr>
          <w:p w14:paraId="3BA0D94A" w14:textId="77777777" w:rsidR="006C4239" w:rsidRPr="006A1E11" w:rsidRDefault="006C4239" w:rsidP="006A1E11">
            <w:pPr>
              <w:ind w:left="360"/>
              <w:jc w:val="both"/>
              <w:rPr>
                <w:rFonts w:eastAsia="Arial"/>
              </w:rPr>
            </w:pPr>
          </w:p>
        </w:tc>
      </w:tr>
      <w:tr w:rsidR="006C4239" w:rsidRPr="00D51AE5" w14:paraId="25DFBFE2" w14:textId="382A65FB" w:rsidTr="007639A7">
        <w:tc>
          <w:tcPr>
            <w:tcW w:w="6044" w:type="dxa"/>
          </w:tcPr>
          <w:p w14:paraId="3DE8C524" w14:textId="77777777" w:rsidR="006C4239" w:rsidRPr="00D51AE5" w:rsidRDefault="006C4239" w:rsidP="006C4239">
            <w:pPr>
              <w:jc w:val="both"/>
              <w:rPr>
                <w:rFonts w:ascii="Arial" w:hAnsi="Arial" w:cs="Arial"/>
              </w:rPr>
            </w:pPr>
            <w:r w:rsidRPr="00D51AE5">
              <w:rPr>
                <w:rFonts w:ascii="Arial" w:hAnsi="Arial" w:cs="Arial"/>
              </w:rPr>
              <w:t>If the additional investment will not increase the capacity of the hydropower project by thirty percent (30%), the Hydropower Developer shall only be entitled to such incentives as may be warranted under the RE Act.</w:t>
            </w:r>
          </w:p>
        </w:tc>
        <w:tc>
          <w:tcPr>
            <w:tcW w:w="3590" w:type="dxa"/>
          </w:tcPr>
          <w:p w14:paraId="519E2AE8" w14:textId="77777777" w:rsidR="006C4239" w:rsidRPr="006A1E11" w:rsidRDefault="006C4239" w:rsidP="006A1E11">
            <w:pPr>
              <w:ind w:left="360"/>
              <w:jc w:val="both"/>
            </w:pPr>
          </w:p>
        </w:tc>
        <w:tc>
          <w:tcPr>
            <w:tcW w:w="4267" w:type="dxa"/>
          </w:tcPr>
          <w:p w14:paraId="4D9732D0" w14:textId="77777777" w:rsidR="006C4239" w:rsidRPr="006A1E11" w:rsidRDefault="006C4239" w:rsidP="006A1E11">
            <w:pPr>
              <w:ind w:left="360"/>
              <w:jc w:val="both"/>
            </w:pPr>
          </w:p>
        </w:tc>
      </w:tr>
      <w:tr w:rsidR="006C4239" w:rsidRPr="00D51AE5" w14:paraId="1D5BA525" w14:textId="70996BE7" w:rsidTr="007639A7">
        <w:tc>
          <w:tcPr>
            <w:tcW w:w="6044" w:type="dxa"/>
          </w:tcPr>
          <w:p w14:paraId="417E1796" w14:textId="77777777" w:rsidR="006C4239" w:rsidRPr="00D51AE5" w:rsidRDefault="006C4239" w:rsidP="006C4239">
            <w:pPr>
              <w:spacing w:line="276" w:lineRule="auto"/>
              <w:jc w:val="center"/>
              <w:rPr>
                <w:rFonts w:ascii="Arial" w:hAnsi="Arial" w:cs="Arial"/>
                <w:b/>
                <w:bCs/>
                <w:iCs/>
                <w:lang w:val="en-US"/>
              </w:rPr>
            </w:pPr>
            <w:r w:rsidRPr="00D51AE5">
              <w:rPr>
                <w:rFonts w:ascii="Arial" w:hAnsi="Arial" w:cs="Arial"/>
                <w:b/>
                <w:bCs/>
                <w:iCs/>
                <w:lang w:val="en-US"/>
              </w:rPr>
              <w:t>CHAPTER VI – OCEAN ENERGY RESOURCE</w:t>
            </w:r>
          </w:p>
        </w:tc>
        <w:tc>
          <w:tcPr>
            <w:tcW w:w="3590" w:type="dxa"/>
          </w:tcPr>
          <w:p w14:paraId="2F0D9BF2" w14:textId="77777777" w:rsidR="006C4239" w:rsidRPr="006A1E11" w:rsidRDefault="006C4239" w:rsidP="006A1E11">
            <w:pPr>
              <w:ind w:left="360"/>
              <w:jc w:val="center"/>
              <w:rPr>
                <w:b/>
                <w:bCs/>
                <w:iCs/>
              </w:rPr>
            </w:pPr>
          </w:p>
        </w:tc>
        <w:tc>
          <w:tcPr>
            <w:tcW w:w="4267" w:type="dxa"/>
          </w:tcPr>
          <w:p w14:paraId="48CD6C09" w14:textId="77777777" w:rsidR="006C4239" w:rsidRPr="006A1E11" w:rsidRDefault="006C4239" w:rsidP="006A1E11">
            <w:pPr>
              <w:ind w:left="360"/>
              <w:jc w:val="center"/>
              <w:rPr>
                <w:b/>
                <w:bCs/>
                <w:iCs/>
              </w:rPr>
            </w:pPr>
          </w:p>
        </w:tc>
      </w:tr>
      <w:tr w:rsidR="006C4239" w:rsidRPr="00D51AE5" w14:paraId="03673BEA" w14:textId="67530FD6" w:rsidTr="007639A7">
        <w:tc>
          <w:tcPr>
            <w:tcW w:w="6044" w:type="dxa"/>
          </w:tcPr>
          <w:p w14:paraId="487674AF" w14:textId="77777777" w:rsidR="006C4239" w:rsidRPr="00D51AE5" w:rsidRDefault="006C4239" w:rsidP="006C4239">
            <w:pPr>
              <w:spacing w:line="276" w:lineRule="auto"/>
              <w:jc w:val="both"/>
              <w:rPr>
                <w:rFonts w:ascii="Arial" w:hAnsi="Arial" w:cs="Arial"/>
                <w:iCs/>
                <w:lang w:val="en-US"/>
              </w:rPr>
            </w:pPr>
            <w:r w:rsidRPr="00D51AE5">
              <w:rPr>
                <w:rFonts w:ascii="Arial" w:hAnsi="Arial" w:cs="Arial"/>
                <w:b/>
                <w:bCs/>
                <w:iCs/>
                <w:lang w:val="en-US"/>
              </w:rPr>
              <w:t>Section 1. Eligibility of Ocean Energy Service Contract Applicant.</w:t>
            </w:r>
            <w:r w:rsidRPr="00D51AE5">
              <w:rPr>
                <w:rFonts w:ascii="Arial" w:hAnsi="Arial" w:cs="Arial"/>
                <w:iCs/>
                <w:lang w:val="en-US"/>
              </w:rPr>
              <w:t xml:space="preserve"> Any Person, local or foreign, may apply for Ocean Energy Service Contract (OESC), subject to the provisions in the Chapter.</w:t>
            </w:r>
          </w:p>
        </w:tc>
        <w:tc>
          <w:tcPr>
            <w:tcW w:w="3590" w:type="dxa"/>
          </w:tcPr>
          <w:p w14:paraId="10B7F976" w14:textId="77777777" w:rsidR="006C4239" w:rsidRPr="006A1E11" w:rsidRDefault="006C4239" w:rsidP="006A1E11">
            <w:pPr>
              <w:ind w:left="360"/>
              <w:jc w:val="both"/>
              <w:rPr>
                <w:b/>
                <w:bCs/>
                <w:iCs/>
              </w:rPr>
            </w:pPr>
          </w:p>
        </w:tc>
        <w:tc>
          <w:tcPr>
            <w:tcW w:w="4267" w:type="dxa"/>
          </w:tcPr>
          <w:p w14:paraId="7893774E" w14:textId="77777777" w:rsidR="006C4239" w:rsidRPr="006A1E11" w:rsidRDefault="006C4239" w:rsidP="006A1E11">
            <w:pPr>
              <w:ind w:left="360"/>
              <w:jc w:val="both"/>
              <w:rPr>
                <w:b/>
                <w:bCs/>
                <w:iCs/>
              </w:rPr>
            </w:pPr>
          </w:p>
        </w:tc>
      </w:tr>
      <w:tr w:rsidR="006C4239" w:rsidRPr="00D51AE5" w14:paraId="0ED6AC61" w14:textId="288A3367" w:rsidTr="007639A7">
        <w:tc>
          <w:tcPr>
            <w:tcW w:w="6044" w:type="dxa"/>
          </w:tcPr>
          <w:p w14:paraId="74BCECD5" w14:textId="77777777" w:rsidR="006C4239" w:rsidRPr="00D51AE5" w:rsidRDefault="006C4239" w:rsidP="006C4239">
            <w:pPr>
              <w:pStyle w:val="ListParagraph"/>
              <w:numPr>
                <w:ilvl w:val="1"/>
                <w:numId w:val="32"/>
              </w:numPr>
              <w:ind w:left="709"/>
              <w:jc w:val="both"/>
            </w:pPr>
            <w:r w:rsidRPr="00D51AE5">
              <w:t xml:space="preserve">The </w:t>
            </w:r>
            <w:r w:rsidRPr="00D51AE5">
              <w:rPr>
                <w:iCs/>
              </w:rPr>
              <w:t>OESC</w:t>
            </w:r>
            <w:r w:rsidRPr="00D51AE5">
              <w:t xml:space="preserve"> Applicant may be a Filipino and/or a foreign citizen, or a Filipino- and/or foreign-owned corporation or association which is authorized by its articles or deed of incorporation to engage in ocean energy exploration, development, and utilization.</w:t>
            </w:r>
          </w:p>
        </w:tc>
        <w:tc>
          <w:tcPr>
            <w:tcW w:w="3590" w:type="dxa"/>
          </w:tcPr>
          <w:p w14:paraId="67DD51C0" w14:textId="77777777" w:rsidR="006C4239" w:rsidRPr="006A1E11" w:rsidRDefault="006C4239" w:rsidP="006A1E11">
            <w:pPr>
              <w:ind w:left="1080"/>
              <w:jc w:val="both"/>
            </w:pPr>
          </w:p>
        </w:tc>
        <w:tc>
          <w:tcPr>
            <w:tcW w:w="4267" w:type="dxa"/>
          </w:tcPr>
          <w:p w14:paraId="58E2B3EF" w14:textId="77777777" w:rsidR="006C4239" w:rsidRPr="006A1E11" w:rsidRDefault="006C4239" w:rsidP="006A1E11">
            <w:pPr>
              <w:ind w:left="1080"/>
              <w:jc w:val="both"/>
            </w:pPr>
          </w:p>
        </w:tc>
      </w:tr>
      <w:tr w:rsidR="006C4239" w:rsidRPr="00D51AE5" w14:paraId="7BA23A3C" w14:textId="0743034D" w:rsidTr="007639A7">
        <w:tc>
          <w:tcPr>
            <w:tcW w:w="6044" w:type="dxa"/>
          </w:tcPr>
          <w:p w14:paraId="30746061" w14:textId="77777777" w:rsidR="006C4239" w:rsidRPr="00D51AE5" w:rsidRDefault="006C4239" w:rsidP="006C4239">
            <w:pPr>
              <w:pStyle w:val="ListParagraph"/>
              <w:numPr>
                <w:ilvl w:val="1"/>
                <w:numId w:val="32"/>
              </w:numPr>
              <w:ind w:left="709"/>
              <w:jc w:val="both"/>
            </w:pPr>
            <w:r w:rsidRPr="00D51AE5">
              <w:t>The appropriation of water direct from a natural source shall be reserved to Filipino citizens or corporations or associations at least sixty percent (60%) of whose capital is owned by Filipinos.</w:t>
            </w:r>
          </w:p>
        </w:tc>
        <w:tc>
          <w:tcPr>
            <w:tcW w:w="3590" w:type="dxa"/>
          </w:tcPr>
          <w:p w14:paraId="747B3510" w14:textId="77777777" w:rsidR="006C4239" w:rsidRPr="006A1E11" w:rsidRDefault="006C4239" w:rsidP="006A1E11">
            <w:pPr>
              <w:ind w:left="1080"/>
              <w:jc w:val="both"/>
            </w:pPr>
          </w:p>
        </w:tc>
        <w:tc>
          <w:tcPr>
            <w:tcW w:w="4267" w:type="dxa"/>
          </w:tcPr>
          <w:p w14:paraId="30E24564" w14:textId="77777777" w:rsidR="006C4239" w:rsidRPr="006A1E11" w:rsidRDefault="006C4239" w:rsidP="006A1E11">
            <w:pPr>
              <w:ind w:left="1080"/>
              <w:jc w:val="both"/>
            </w:pPr>
          </w:p>
        </w:tc>
      </w:tr>
      <w:tr w:rsidR="006C4239" w:rsidRPr="00D51AE5" w14:paraId="1726D87D" w14:textId="6D13E23D" w:rsidTr="007639A7">
        <w:tc>
          <w:tcPr>
            <w:tcW w:w="6044" w:type="dxa"/>
          </w:tcPr>
          <w:p w14:paraId="390F3311" w14:textId="77777777" w:rsidR="006C4239" w:rsidRPr="00D51AE5" w:rsidRDefault="006C4239" w:rsidP="006C4239">
            <w:pPr>
              <w:pStyle w:val="ListParagraph"/>
              <w:numPr>
                <w:ilvl w:val="1"/>
                <w:numId w:val="32"/>
              </w:numPr>
              <w:ind w:left="709"/>
              <w:jc w:val="both"/>
            </w:pPr>
            <w:r w:rsidRPr="00D51AE5">
              <w:t xml:space="preserve">In case the </w:t>
            </w:r>
            <w:r w:rsidRPr="00D51AE5">
              <w:rPr>
                <w:iCs/>
              </w:rPr>
              <w:t>OESC</w:t>
            </w:r>
            <w:r w:rsidRPr="00D51AE5">
              <w:t xml:space="preserve"> Applicant is a joint venture or a consortium, the partners of the joint venture or members of the consortium shall organize themselves as a corporation under the RA No. 11232, otherwise known as the “Revised Corporation Code of the Philippines,” or secure the appropriate license from the Securities and Exchange Commission, in case the joint venture or consortium was incorporated outside of the Philippines; Provided, that the incorporated joint venture or consortium which applies for an </w:t>
            </w:r>
            <w:r w:rsidRPr="00D51AE5">
              <w:rPr>
                <w:iCs/>
              </w:rPr>
              <w:t>OESC</w:t>
            </w:r>
            <w:r w:rsidRPr="00D51AE5">
              <w:t xml:space="preserve"> that involves activities reserved to Filipino citizens or corporations or associations at least sixty percent (60%) of whose capital is owned by Filipinos shall comply with the nationality requirements as provided for in the preceding paragraph, and Commonwealth Act No. 108, or the “Anti-Dummy Law,” on the appointment of officers of the corporation.</w:t>
            </w:r>
          </w:p>
        </w:tc>
        <w:tc>
          <w:tcPr>
            <w:tcW w:w="3590" w:type="dxa"/>
          </w:tcPr>
          <w:p w14:paraId="068C8F4F" w14:textId="77777777" w:rsidR="006C4239" w:rsidRPr="006A1E11" w:rsidRDefault="006C4239" w:rsidP="006A1E11">
            <w:pPr>
              <w:ind w:left="1080"/>
              <w:jc w:val="both"/>
            </w:pPr>
          </w:p>
        </w:tc>
        <w:tc>
          <w:tcPr>
            <w:tcW w:w="4267" w:type="dxa"/>
          </w:tcPr>
          <w:p w14:paraId="2EDB2689" w14:textId="77777777" w:rsidR="006C4239" w:rsidRPr="006A1E11" w:rsidRDefault="006C4239" w:rsidP="006A1E11">
            <w:pPr>
              <w:ind w:left="1080"/>
              <w:jc w:val="both"/>
            </w:pPr>
          </w:p>
        </w:tc>
      </w:tr>
      <w:tr w:rsidR="006C4239" w:rsidRPr="00D51AE5" w14:paraId="1AD1E7DC" w14:textId="2B46F0A5" w:rsidTr="007639A7">
        <w:tc>
          <w:tcPr>
            <w:tcW w:w="6044" w:type="dxa"/>
          </w:tcPr>
          <w:p w14:paraId="35B9251F" w14:textId="2F4B6932" w:rsidR="006C4239" w:rsidRPr="00D51AE5" w:rsidRDefault="006C4239" w:rsidP="006C4239">
            <w:pPr>
              <w:spacing w:line="276" w:lineRule="auto"/>
              <w:jc w:val="both"/>
              <w:rPr>
                <w:rFonts w:ascii="Arial" w:hAnsi="Arial" w:cs="Arial"/>
                <w:iCs/>
                <w:lang w:val="en-US"/>
              </w:rPr>
            </w:pPr>
            <w:r w:rsidRPr="00D51AE5">
              <w:rPr>
                <w:rFonts w:ascii="Arial" w:hAnsi="Arial" w:cs="Arial"/>
                <w:b/>
                <w:bCs/>
                <w:iCs/>
                <w:lang w:val="en-US"/>
              </w:rPr>
              <w:t>Section 2. Modes of Awarding Ocean Energy Service Contract.</w:t>
            </w:r>
            <w:r w:rsidRPr="00D51AE5">
              <w:rPr>
                <w:rFonts w:ascii="Arial" w:hAnsi="Arial" w:cs="Arial"/>
                <w:iCs/>
                <w:lang w:val="en-US"/>
              </w:rPr>
              <w:t xml:space="preserve"> OESC shall be awarded through (</w:t>
            </w:r>
            <w:r w:rsidR="00770F0B">
              <w:rPr>
                <w:rFonts w:ascii="Arial" w:hAnsi="Arial" w:cs="Arial"/>
                <w:iCs/>
                <w:lang w:val="en-US"/>
              </w:rPr>
              <w:t>a</w:t>
            </w:r>
            <w:r w:rsidRPr="00D51AE5">
              <w:rPr>
                <w:rFonts w:ascii="Arial" w:hAnsi="Arial" w:cs="Arial"/>
                <w:iCs/>
                <w:lang w:val="en-US"/>
              </w:rPr>
              <w:t>) an Open and Competitive Selection Process (OCSP) or (</w:t>
            </w:r>
            <w:r w:rsidR="00770F0B">
              <w:rPr>
                <w:rFonts w:ascii="Arial" w:hAnsi="Arial" w:cs="Arial"/>
                <w:iCs/>
                <w:lang w:val="en-US"/>
              </w:rPr>
              <w:t>b</w:t>
            </w:r>
            <w:r w:rsidRPr="00D51AE5">
              <w:rPr>
                <w:rFonts w:ascii="Arial" w:hAnsi="Arial" w:cs="Arial"/>
                <w:iCs/>
                <w:lang w:val="en-US"/>
              </w:rPr>
              <w:t>) Direct Application.</w:t>
            </w:r>
          </w:p>
        </w:tc>
        <w:tc>
          <w:tcPr>
            <w:tcW w:w="3590" w:type="dxa"/>
          </w:tcPr>
          <w:p w14:paraId="58B2E790" w14:textId="77777777" w:rsidR="006C4239" w:rsidRPr="006A1E11" w:rsidRDefault="006C4239" w:rsidP="006A1E11">
            <w:pPr>
              <w:ind w:left="360"/>
              <w:jc w:val="both"/>
              <w:rPr>
                <w:b/>
                <w:bCs/>
                <w:iCs/>
              </w:rPr>
            </w:pPr>
          </w:p>
        </w:tc>
        <w:tc>
          <w:tcPr>
            <w:tcW w:w="4267" w:type="dxa"/>
          </w:tcPr>
          <w:p w14:paraId="5B8AAE20" w14:textId="77777777" w:rsidR="006C4239" w:rsidRPr="006A1E11" w:rsidRDefault="006C4239" w:rsidP="006A1E11">
            <w:pPr>
              <w:ind w:left="360"/>
              <w:jc w:val="both"/>
              <w:rPr>
                <w:b/>
                <w:bCs/>
                <w:iCs/>
              </w:rPr>
            </w:pPr>
          </w:p>
        </w:tc>
      </w:tr>
      <w:tr w:rsidR="006C4239" w:rsidRPr="00D51AE5" w14:paraId="24775657" w14:textId="5E0ABE09" w:rsidTr="007639A7">
        <w:tc>
          <w:tcPr>
            <w:tcW w:w="6044" w:type="dxa"/>
          </w:tcPr>
          <w:p w14:paraId="127EC5CF" w14:textId="77777777" w:rsidR="006C4239" w:rsidRPr="00D51AE5" w:rsidRDefault="006C4239" w:rsidP="006C4239">
            <w:pPr>
              <w:pStyle w:val="ListParagraph"/>
              <w:numPr>
                <w:ilvl w:val="1"/>
                <w:numId w:val="33"/>
              </w:numPr>
              <w:jc w:val="both"/>
            </w:pPr>
            <w:r w:rsidRPr="00D51AE5">
              <w:t xml:space="preserve">In case the </w:t>
            </w:r>
            <w:r w:rsidRPr="00D51AE5">
              <w:rPr>
                <w:iCs/>
              </w:rPr>
              <w:t>OESC</w:t>
            </w:r>
            <w:r w:rsidRPr="00D51AE5">
              <w:t xml:space="preserve"> Applicant is a joint venture or a consortium, the partners of the joint venture or members of the consortium shall organize themselves as a corporation under the RA No. 11232, otherwise known as the “Revised Corporation Code of the Philippines,” or secure the appropriate license from the Securities and Exchange Commission, in case the joint venture or consortium was incorporated outside of the Philippines; Provided, that the incorporated joint venture or consortium which applies for an </w:t>
            </w:r>
            <w:r w:rsidRPr="00D51AE5">
              <w:rPr>
                <w:iCs/>
              </w:rPr>
              <w:t>OESC</w:t>
            </w:r>
            <w:r w:rsidRPr="00D51AE5">
              <w:t xml:space="preserve"> that involves activities reserved to Filipino citizens or corporations or associations at least sixty percent (60%) of whose capital is owned by Filipinos shall comply with the nationality requirements as provided for in the preceding paragraph, and Commonwealth Act No. 108, or the “Anti-Dummy Law,” on the appointment of officers of the corporation.</w:t>
            </w:r>
          </w:p>
        </w:tc>
        <w:tc>
          <w:tcPr>
            <w:tcW w:w="3590" w:type="dxa"/>
          </w:tcPr>
          <w:p w14:paraId="00AD508A" w14:textId="77777777" w:rsidR="006C4239" w:rsidRPr="006A1E11" w:rsidRDefault="006C4239" w:rsidP="006A1E11">
            <w:pPr>
              <w:ind w:left="1080"/>
              <w:jc w:val="both"/>
            </w:pPr>
          </w:p>
        </w:tc>
        <w:tc>
          <w:tcPr>
            <w:tcW w:w="4267" w:type="dxa"/>
          </w:tcPr>
          <w:p w14:paraId="5D2939B5" w14:textId="77777777" w:rsidR="006C4239" w:rsidRPr="006A1E11" w:rsidRDefault="006C4239" w:rsidP="006A1E11">
            <w:pPr>
              <w:ind w:left="1080"/>
              <w:jc w:val="both"/>
            </w:pPr>
          </w:p>
        </w:tc>
      </w:tr>
      <w:tr w:rsidR="006C4239" w:rsidRPr="00D51AE5" w14:paraId="08AA3D4D" w14:textId="196EE817" w:rsidTr="007639A7">
        <w:tc>
          <w:tcPr>
            <w:tcW w:w="6044" w:type="dxa"/>
          </w:tcPr>
          <w:p w14:paraId="4108C63F" w14:textId="77777777" w:rsidR="006C4239" w:rsidRPr="00D51AE5" w:rsidRDefault="006C4239" w:rsidP="006C4239">
            <w:pPr>
              <w:pStyle w:val="ListParagraph"/>
              <w:numPr>
                <w:ilvl w:val="1"/>
                <w:numId w:val="33"/>
              </w:numPr>
              <w:jc w:val="both"/>
            </w:pPr>
            <w:r w:rsidRPr="00D51AE5">
              <w:t xml:space="preserve">The OCSP shall be adopted for the selection and award of </w:t>
            </w:r>
            <w:r w:rsidRPr="00D51AE5">
              <w:rPr>
                <w:iCs/>
              </w:rPr>
              <w:t>OESC</w:t>
            </w:r>
            <w:r w:rsidRPr="00D51AE5">
              <w:t>s for Pre-Determined Areas (PDAs) covering ocean energy resources for commercial purposes. This shall be governed by Sections 3 and 4 of this Chapter.</w:t>
            </w:r>
          </w:p>
        </w:tc>
        <w:tc>
          <w:tcPr>
            <w:tcW w:w="3590" w:type="dxa"/>
          </w:tcPr>
          <w:p w14:paraId="0F116819" w14:textId="77777777" w:rsidR="006C4239" w:rsidRPr="006A1E11" w:rsidRDefault="006C4239" w:rsidP="006A1E11">
            <w:pPr>
              <w:ind w:left="1080"/>
              <w:jc w:val="both"/>
            </w:pPr>
          </w:p>
        </w:tc>
        <w:tc>
          <w:tcPr>
            <w:tcW w:w="4267" w:type="dxa"/>
          </w:tcPr>
          <w:p w14:paraId="4ECA7D6A" w14:textId="77777777" w:rsidR="006C4239" w:rsidRPr="006A1E11" w:rsidRDefault="006C4239" w:rsidP="006A1E11">
            <w:pPr>
              <w:ind w:left="1080"/>
              <w:jc w:val="both"/>
            </w:pPr>
          </w:p>
        </w:tc>
      </w:tr>
      <w:tr w:rsidR="006C4239" w:rsidRPr="00D51AE5" w14:paraId="28B2C60F" w14:textId="4CAC6AE2" w:rsidTr="007639A7">
        <w:tc>
          <w:tcPr>
            <w:tcW w:w="6044" w:type="dxa"/>
          </w:tcPr>
          <w:p w14:paraId="404EC39A" w14:textId="77777777" w:rsidR="006C4239" w:rsidRPr="00D51AE5" w:rsidRDefault="006C4239" w:rsidP="006C4239">
            <w:pPr>
              <w:pStyle w:val="ListParagraph"/>
              <w:numPr>
                <w:ilvl w:val="1"/>
                <w:numId w:val="33"/>
              </w:numPr>
              <w:jc w:val="both"/>
            </w:pPr>
            <w:r w:rsidRPr="00D51AE5">
              <w:t>Direct Application shall be available for the selection and award of:</w:t>
            </w:r>
          </w:p>
        </w:tc>
        <w:tc>
          <w:tcPr>
            <w:tcW w:w="3590" w:type="dxa"/>
          </w:tcPr>
          <w:p w14:paraId="4EFA74C0" w14:textId="77777777" w:rsidR="006C4239" w:rsidRPr="006A1E11" w:rsidRDefault="006C4239" w:rsidP="006A1E11">
            <w:pPr>
              <w:ind w:left="1080"/>
              <w:jc w:val="both"/>
            </w:pPr>
          </w:p>
        </w:tc>
        <w:tc>
          <w:tcPr>
            <w:tcW w:w="4267" w:type="dxa"/>
          </w:tcPr>
          <w:p w14:paraId="0D8D4555" w14:textId="77777777" w:rsidR="006C4239" w:rsidRPr="006A1E11" w:rsidRDefault="006C4239" w:rsidP="006A1E11">
            <w:pPr>
              <w:ind w:left="1080"/>
              <w:jc w:val="both"/>
            </w:pPr>
          </w:p>
        </w:tc>
      </w:tr>
      <w:tr w:rsidR="006C4239" w:rsidRPr="00D51AE5" w14:paraId="0DC7E2D0" w14:textId="47B3FC73" w:rsidTr="007639A7">
        <w:tc>
          <w:tcPr>
            <w:tcW w:w="6044" w:type="dxa"/>
          </w:tcPr>
          <w:p w14:paraId="21246F20" w14:textId="77777777" w:rsidR="006C4239" w:rsidRPr="00D51AE5" w:rsidRDefault="006C4239" w:rsidP="006C4239">
            <w:pPr>
              <w:pStyle w:val="ListParagraph"/>
              <w:numPr>
                <w:ilvl w:val="0"/>
                <w:numId w:val="34"/>
              </w:numPr>
              <w:ind w:left="1276" w:hanging="425"/>
              <w:jc w:val="both"/>
            </w:pPr>
            <w:r w:rsidRPr="00D51AE5">
              <w:rPr>
                <w:iCs/>
              </w:rPr>
              <w:t>OESC</w:t>
            </w:r>
            <w:r w:rsidRPr="00D51AE5">
              <w:t>s covering PDAs, following a failed OCSP pursuant to Section 4.4 and the procedures in Section 4 of this Chapter; and</w:t>
            </w:r>
          </w:p>
        </w:tc>
        <w:tc>
          <w:tcPr>
            <w:tcW w:w="3590" w:type="dxa"/>
          </w:tcPr>
          <w:p w14:paraId="06FFDC87" w14:textId="77777777" w:rsidR="006C4239" w:rsidRPr="006A1E11" w:rsidRDefault="006C4239" w:rsidP="006A1E11">
            <w:pPr>
              <w:ind w:left="360"/>
              <w:jc w:val="both"/>
              <w:rPr>
                <w:iCs/>
              </w:rPr>
            </w:pPr>
          </w:p>
        </w:tc>
        <w:tc>
          <w:tcPr>
            <w:tcW w:w="4267" w:type="dxa"/>
          </w:tcPr>
          <w:p w14:paraId="5EE89E8B" w14:textId="77777777" w:rsidR="006C4239" w:rsidRPr="006A1E11" w:rsidRDefault="006C4239" w:rsidP="006A1E11">
            <w:pPr>
              <w:ind w:left="360"/>
              <w:jc w:val="both"/>
              <w:rPr>
                <w:iCs/>
              </w:rPr>
            </w:pPr>
          </w:p>
        </w:tc>
      </w:tr>
      <w:tr w:rsidR="006C4239" w:rsidRPr="00D51AE5" w14:paraId="0091F2E9" w14:textId="04FCFB60" w:rsidTr="007639A7">
        <w:tc>
          <w:tcPr>
            <w:tcW w:w="6044" w:type="dxa"/>
          </w:tcPr>
          <w:p w14:paraId="48550447" w14:textId="77777777" w:rsidR="006C4239" w:rsidRPr="00D51AE5" w:rsidRDefault="006C4239" w:rsidP="006C4239">
            <w:pPr>
              <w:pStyle w:val="ListParagraph"/>
              <w:numPr>
                <w:ilvl w:val="0"/>
                <w:numId w:val="34"/>
              </w:numPr>
              <w:ind w:left="1276" w:hanging="425"/>
              <w:jc w:val="both"/>
            </w:pPr>
            <w:r w:rsidRPr="00D51AE5">
              <w:rPr>
                <w:iCs/>
              </w:rPr>
              <w:t>OESC</w:t>
            </w:r>
            <w:r w:rsidRPr="00D51AE5">
              <w:t xml:space="preserve"> in an area identified by an </w:t>
            </w:r>
            <w:r w:rsidRPr="00D51AE5">
              <w:rPr>
                <w:iCs/>
              </w:rPr>
              <w:t>OESC</w:t>
            </w:r>
            <w:r w:rsidRPr="00D51AE5">
              <w:t xml:space="preserve"> Applicant and verified with or confirmed by the DOE-Information Technology and Management Services (ITMS) as available for exploration, development and/or utilization of ocean energy resources.</w:t>
            </w:r>
          </w:p>
        </w:tc>
        <w:tc>
          <w:tcPr>
            <w:tcW w:w="3590" w:type="dxa"/>
          </w:tcPr>
          <w:p w14:paraId="2939B93B" w14:textId="77777777" w:rsidR="006C4239" w:rsidRPr="006A1E11" w:rsidRDefault="006C4239" w:rsidP="006A1E11">
            <w:pPr>
              <w:ind w:left="360"/>
              <w:jc w:val="both"/>
              <w:rPr>
                <w:iCs/>
              </w:rPr>
            </w:pPr>
          </w:p>
        </w:tc>
        <w:tc>
          <w:tcPr>
            <w:tcW w:w="4267" w:type="dxa"/>
          </w:tcPr>
          <w:p w14:paraId="7844548F" w14:textId="77777777" w:rsidR="006C4239" w:rsidRPr="006A1E11" w:rsidRDefault="006C4239" w:rsidP="006A1E11">
            <w:pPr>
              <w:ind w:left="360"/>
              <w:jc w:val="both"/>
              <w:rPr>
                <w:iCs/>
              </w:rPr>
            </w:pPr>
          </w:p>
        </w:tc>
      </w:tr>
      <w:tr w:rsidR="006C4239" w:rsidRPr="00D51AE5" w14:paraId="775BBB4F" w14:textId="3465DD75" w:rsidTr="007639A7">
        <w:tc>
          <w:tcPr>
            <w:tcW w:w="6044" w:type="dxa"/>
          </w:tcPr>
          <w:p w14:paraId="5664E2C0" w14:textId="73B20804" w:rsidR="006C4239" w:rsidRPr="00D51AE5" w:rsidRDefault="006C4239" w:rsidP="006C4239">
            <w:pPr>
              <w:spacing w:line="276" w:lineRule="auto"/>
              <w:jc w:val="both"/>
              <w:rPr>
                <w:rFonts w:ascii="Arial" w:hAnsi="Arial" w:cs="Arial"/>
                <w:lang w:val="en-US"/>
              </w:rPr>
            </w:pPr>
            <w:r w:rsidRPr="00D51AE5">
              <w:rPr>
                <w:rFonts w:ascii="Arial" w:hAnsi="Arial" w:cs="Arial"/>
                <w:b/>
                <w:bCs/>
                <w:lang w:val="en-US"/>
              </w:rPr>
              <w:t xml:space="preserve">Section </w:t>
            </w:r>
            <w:r w:rsidRPr="00D51AE5">
              <w:rPr>
                <w:rFonts w:ascii="Arial" w:hAnsi="Arial" w:cs="Arial"/>
                <w:b/>
                <w:lang w:val="en-US"/>
              </w:rPr>
              <w:t>3.</w:t>
            </w:r>
            <w:r w:rsidRPr="00D51AE5">
              <w:rPr>
                <w:rFonts w:ascii="Arial" w:hAnsi="Arial" w:cs="Arial"/>
                <w:b/>
                <w:bCs/>
                <w:lang w:val="en-US"/>
              </w:rPr>
              <w:t xml:space="preserve"> </w:t>
            </w:r>
            <w:r w:rsidRPr="00D51AE5">
              <w:rPr>
                <w:rFonts w:ascii="Arial" w:hAnsi="Arial" w:cs="Arial"/>
                <w:b/>
                <w:lang w:val="en-US"/>
              </w:rPr>
              <w:t>Pre-</w:t>
            </w:r>
            <w:r w:rsidRPr="00D51AE5">
              <w:rPr>
                <w:rFonts w:ascii="Arial" w:hAnsi="Arial" w:cs="Arial"/>
                <w:b/>
                <w:bCs/>
                <w:lang w:val="en-US"/>
              </w:rPr>
              <w:t xml:space="preserve">Determined Areas. </w:t>
            </w:r>
            <w:r w:rsidRPr="00D51AE5">
              <w:rPr>
                <w:rFonts w:ascii="Arial" w:hAnsi="Arial" w:cs="Arial"/>
                <w:lang w:val="en-US"/>
              </w:rPr>
              <w:t xml:space="preserve">Interested parties may apply for </w:t>
            </w:r>
            <w:r w:rsidRPr="00D51AE5">
              <w:rPr>
                <w:rFonts w:ascii="Arial" w:hAnsi="Arial" w:cs="Arial"/>
                <w:iCs/>
                <w:lang w:val="en-US"/>
              </w:rPr>
              <w:t>OESC</w:t>
            </w:r>
            <w:r w:rsidRPr="00D51AE5">
              <w:rPr>
                <w:rFonts w:ascii="Arial" w:hAnsi="Arial" w:cs="Arial"/>
                <w:lang w:val="en-US"/>
              </w:rPr>
              <w:t xml:space="preserve"> for PDAs offered by the DOE during a prescribed period (Annex G).</w:t>
            </w:r>
          </w:p>
        </w:tc>
        <w:tc>
          <w:tcPr>
            <w:tcW w:w="3590" w:type="dxa"/>
          </w:tcPr>
          <w:p w14:paraId="555EA639" w14:textId="77777777" w:rsidR="006C4239" w:rsidRPr="006A1E11" w:rsidRDefault="006C4239" w:rsidP="006A1E11">
            <w:pPr>
              <w:ind w:left="360"/>
              <w:jc w:val="both"/>
              <w:rPr>
                <w:b/>
                <w:bCs/>
              </w:rPr>
            </w:pPr>
          </w:p>
        </w:tc>
        <w:tc>
          <w:tcPr>
            <w:tcW w:w="4267" w:type="dxa"/>
          </w:tcPr>
          <w:p w14:paraId="42ED8E0C" w14:textId="77777777" w:rsidR="006C4239" w:rsidRPr="006A1E11" w:rsidRDefault="006C4239" w:rsidP="006A1E11">
            <w:pPr>
              <w:ind w:left="360"/>
              <w:jc w:val="both"/>
              <w:rPr>
                <w:b/>
                <w:bCs/>
              </w:rPr>
            </w:pPr>
          </w:p>
        </w:tc>
      </w:tr>
      <w:tr w:rsidR="006C4239" w:rsidRPr="00D51AE5" w14:paraId="26FC575B" w14:textId="51AA96E5" w:rsidTr="007639A7">
        <w:tc>
          <w:tcPr>
            <w:tcW w:w="6044" w:type="dxa"/>
          </w:tcPr>
          <w:p w14:paraId="2B48E816" w14:textId="48BD471B" w:rsidR="006C4239" w:rsidRPr="00D51AE5" w:rsidRDefault="006C4239" w:rsidP="006C4239">
            <w:pPr>
              <w:pStyle w:val="ListParagraph"/>
              <w:numPr>
                <w:ilvl w:val="1"/>
                <w:numId w:val="35"/>
              </w:numPr>
              <w:ind w:left="709"/>
              <w:jc w:val="both"/>
            </w:pPr>
            <w:r w:rsidRPr="00D51AE5">
              <w:rPr>
                <w:b/>
              </w:rPr>
              <w:t>Selection of PDAs.</w:t>
            </w:r>
            <w:r w:rsidRPr="00D51AE5">
              <w:t xml:space="preserve"> The REMB shall identify and submit a list </w:t>
            </w:r>
            <w:r w:rsidR="004A53BD">
              <w:t>of</w:t>
            </w:r>
            <w:r w:rsidRPr="00D51AE5">
              <w:t xml:space="preserve"> PDAs for </w:t>
            </w:r>
            <w:r w:rsidRPr="00D51AE5">
              <w:rPr>
                <w:iCs/>
              </w:rPr>
              <w:t>OESC</w:t>
            </w:r>
            <w:r w:rsidRPr="00D51AE5">
              <w:t xml:space="preserve"> Application, with the respective location maps and technical descriptions thereof, to the DOE Secretary, through its Supervising Assistant Secretary and Undersecretary, for approval.</w:t>
            </w:r>
          </w:p>
        </w:tc>
        <w:tc>
          <w:tcPr>
            <w:tcW w:w="3590" w:type="dxa"/>
          </w:tcPr>
          <w:p w14:paraId="0B1B1A97" w14:textId="77777777" w:rsidR="006C4239" w:rsidRPr="006A1E11" w:rsidRDefault="006C4239" w:rsidP="006A1E11">
            <w:pPr>
              <w:ind w:left="1080"/>
              <w:jc w:val="both"/>
              <w:rPr>
                <w:b/>
              </w:rPr>
            </w:pPr>
          </w:p>
        </w:tc>
        <w:tc>
          <w:tcPr>
            <w:tcW w:w="4267" w:type="dxa"/>
          </w:tcPr>
          <w:p w14:paraId="186BA330" w14:textId="77777777" w:rsidR="006C4239" w:rsidRPr="006A1E11" w:rsidRDefault="006C4239" w:rsidP="006A1E11">
            <w:pPr>
              <w:ind w:left="1080"/>
              <w:jc w:val="both"/>
              <w:rPr>
                <w:b/>
              </w:rPr>
            </w:pPr>
          </w:p>
        </w:tc>
      </w:tr>
      <w:tr w:rsidR="006C4239" w:rsidRPr="00D51AE5" w14:paraId="5D3E49E4" w14:textId="07C8AA6F" w:rsidTr="007639A7">
        <w:tc>
          <w:tcPr>
            <w:tcW w:w="6044" w:type="dxa"/>
          </w:tcPr>
          <w:p w14:paraId="740ACBED" w14:textId="46DFB7BF" w:rsidR="006C4239" w:rsidRPr="00D51AE5" w:rsidRDefault="006C4239" w:rsidP="006C4239">
            <w:pPr>
              <w:pStyle w:val="ListParagraph"/>
              <w:numPr>
                <w:ilvl w:val="1"/>
                <w:numId w:val="35"/>
              </w:numPr>
              <w:ind w:left="709"/>
              <w:jc w:val="both"/>
            </w:pPr>
            <w:r w:rsidRPr="00D51AE5">
              <w:rPr>
                <w:b/>
              </w:rPr>
              <w:t>Launch and Publication.</w:t>
            </w:r>
            <w:r w:rsidRPr="00D51AE5">
              <w:t xml:space="preserve"> PDAs approved by the DOE Secretary shall be scheduled for launch and shall be publicly announced by the DOE for submission of </w:t>
            </w:r>
            <w:r w:rsidRPr="00D51AE5">
              <w:rPr>
                <w:iCs/>
              </w:rPr>
              <w:t>OESC</w:t>
            </w:r>
            <w:r w:rsidRPr="00D51AE5">
              <w:t xml:space="preserve"> Applications. PDAs for offer shall be published for at least once (1) a week for two (2) consecutive weeks in at least two (2) newspapers of general circulation and shall likewise be posted at the DOE website.</w:t>
            </w:r>
          </w:p>
        </w:tc>
        <w:tc>
          <w:tcPr>
            <w:tcW w:w="3590" w:type="dxa"/>
          </w:tcPr>
          <w:p w14:paraId="24B5ED62" w14:textId="77777777" w:rsidR="006C4239" w:rsidRPr="006A1E11" w:rsidRDefault="006C4239" w:rsidP="006A1E11">
            <w:pPr>
              <w:ind w:left="1080"/>
              <w:jc w:val="both"/>
              <w:rPr>
                <w:b/>
              </w:rPr>
            </w:pPr>
          </w:p>
        </w:tc>
        <w:tc>
          <w:tcPr>
            <w:tcW w:w="4267" w:type="dxa"/>
          </w:tcPr>
          <w:p w14:paraId="383F1122" w14:textId="77777777" w:rsidR="006C4239" w:rsidRPr="006A1E11" w:rsidRDefault="006C4239" w:rsidP="006A1E11">
            <w:pPr>
              <w:ind w:left="1080"/>
              <w:jc w:val="both"/>
              <w:rPr>
                <w:b/>
              </w:rPr>
            </w:pPr>
          </w:p>
        </w:tc>
      </w:tr>
      <w:tr w:rsidR="006C4239" w:rsidRPr="00D51AE5" w14:paraId="5FF3943C" w14:textId="4751B113" w:rsidTr="007639A7">
        <w:tc>
          <w:tcPr>
            <w:tcW w:w="6044" w:type="dxa"/>
          </w:tcPr>
          <w:p w14:paraId="71F1AFD6" w14:textId="0F98F427" w:rsidR="006C4239" w:rsidRPr="00D51AE5" w:rsidRDefault="006C4239" w:rsidP="006C4239">
            <w:pPr>
              <w:pStyle w:val="ListParagraph"/>
              <w:numPr>
                <w:ilvl w:val="1"/>
                <w:numId w:val="35"/>
              </w:numPr>
              <w:ind w:left="709"/>
              <w:jc w:val="both"/>
            </w:pPr>
            <w:r w:rsidRPr="00D51AE5">
              <w:rPr>
                <w:b/>
              </w:rPr>
              <w:t>Data Packages and Promotional Activities.</w:t>
            </w:r>
            <w:r w:rsidRPr="00D51AE5">
              <w:t xml:space="preserve"> The REMB shall arrange for the availability of data packages for the approved PDAs that can be purchased by interested parties in support of their applications. The REMB shall conduct promotional activities to promote the OCSP and the corresponding data packages so as to ensure maximum participation and awareness of prospective investors and stakeholders.</w:t>
            </w:r>
          </w:p>
        </w:tc>
        <w:tc>
          <w:tcPr>
            <w:tcW w:w="3590" w:type="dxa"/>
          </w:tcPr>
          <w:p w14:paraId="7A321CCB" w14:textId="77777777" w:rsidR="006C4239" w:rsidRPr="006A1E11" w:rsidRDefault="006C4239" w:rsidP="006A1E11">
            <w:pPr>
              <w:ind w:left="1080"/>
              <w:jc w:val="both"/>
              <w:rPr>
                <w:b/>
              </w:rPr>
            </w:pPr>
          </w:p>
        </w:tc>
        <w:tc>
          <w:tcPr>
            <w:tcW w:w="4267" w:type="dxa"/>
          </w:tcPr>
          <w:p w14:paraId="2402F747" w14:textId="77777777" w:rsidR="006C4239" w:rsidRPr="006A1E11" w:rsidRDefault="006C4239" w:rsidP="006A1E11">
            <w:pPr>
              <w:ind w:left="1080"/>
              <w:jc w:val="both"/>
              <w:rPr>
                <w:b/>
              </w:rPr>
            </w:pPr>
          </w:p>
        </w:tc>
      </w:tr>
      <w:tr w:rsidR="006C4239" w:rsidRPr="00D51AE5" w14:paraId="7EBFBAFB" w14:textId="6632558D" w:rsidTr="007639A7">
        <w:tc>
          <w:tcPr>
            <w:tcW w:w="6044" w:type="dxa"/>
          </w:tcPr>
          <w:p w14:paraId="7AC8A71B" w14:textId="79DB46DE" w:rsidR="006C4239" w:rsidRPr="00D51AE5" w:rsidRDefault="006C4239" w:rsidP="006C4239">
            <w:pPr>
              <w:spacing w:line="276" w:lineRule="auto"/>
              <w:jc w:val="both"/>
              <w:outlineLvl w:val="1"/>
              <w:rPr>
                <w:rFonts w:ascii="Arial" w:hAnsi="Arial" w:cs="Arial"/>
                <w:b/>
                <w:bCs/>
                <w:lang w:val="en-US"/>
              </w:rPr>
            </w:pPr>
            <w:r w:rsidRPr="00D51AE5">
              <w:rPr>
                <w:rFonts w:ascii="Arial" w:hAnsi="Arial" w:cs="Arial"/>
                <w:b/>
                <w:bCs/>
                <w:lang w:val="en-US"/>
              </w:rPr>
              <w:t xml:space="preserve">Section </w:t>
            </w:r>
            <w:r w:rsidRPr="00D51AE5">
              <w:rPr>
                <w:rFonts w:ascii="Arial" w:hAnsi="Arial" w:cs="Arial"/>
                <w:b/>
                <w:lang w:val="en-US"/>
              </w:rPr>
              <w:t>4.</w:t>
            </w:r>
            <w:r w:rsidRPr="00D51AE5">
              <w:rPr>
                <w:rFonts w:ascii="Arial" w:hAnsi="Arial" w:cs="Arial"/>
                <w:b/>
                <w:bCs/>
                <w:lang w:val="en-US"/>
              </w:rPr>
              <w:t xml:space="preserve"> Procedure for Awarding Ocean Energy Service Contract under Open and Competitive Selection Process.</w:t>
            </w:r>
          </w:p>
        </w:tc>
        <w:tc>
          <w:tcPr>
            <w:tcW w:w="3590" w:type="dxa"/>
          </w:tcPr>
          <w:p w14:paraId="679618A1" w14:textId="77777777" w:rsidR="006C4239" w:rsidRPr="006A1E11" w:rsidRDefault="006C4239" w:rsidP="006A1E11">
            <w:pPr>
              <w:ind w:left="360"/>
              <w:jc w:val="both"/>
              <w:outlineLvl w:val="1"/>
              <w:rPr>
                <w:b/>
                <w:bCs/>
              </w:rPr>
            </w:pPr>
          </w:p>
        </w:tc>
        <w:tc>
          <w:tcPr>
            <w:tcW w:w="4267" w:type="dxa"/>
          </w:tcPr>
          <w:p w14:paraId="3408E5A7" w14:textId="77777777" w:rsidR="006C4239" w:rsidRPr="006A1E11" w:rsidRDefault="006C4239" w:rsidP="006A1E11">
            <w:pPr>
              <w:ind w:left="360"/>
              <w:jc w:val="both"/>
              <w:outlineLvl w:val="1"/>
              <w:rPr>
                <w:b/>
                <w:bCs/>
              </w:rPr>
            </w:pPr>
          </w:p>
        </w:tc>
      </w:tr>
      <w:tr w:rsidR="006C4239" w:rsidRPr="00D51AE5" w14:paraId="34EDED98" w14:textId="7A69A0DF" w:rsidTr="007639A7">
        <w:tc>
          <w:tcPr>
            <w:tcW w:w="6044" w:type="dxa"/>
          </w:tcPr>
          <w:p w14:paraId="412EA147" w14:textId="77777777" w:rsidR="006C4239" w:rsidRPr="00D51AE5" w:rsidRDefault="006C4239" w:rsidP="006C4239">
            <w:pPr>
              <w:pStyle w:val="ListParagraph"/>
              <w:numPr>
                <w:ilvl w:val="1"/>
                <w:numId w:val="36"/>
              </w:numPr>
              <w:jc w:val="both"/>
            </w:pPr>
            <w:r w:rsidRPr="00D51AE5">
              <w:rPr>
                <w:b/>
                <w:bCs/>
              </w:rPr>
              <w:t xml:space="preserve">Ocean Energy Service </w:t>
            </w:r>
            <w:r w:rsidRPr="00D51AE5">
              <w:rPr>
                <w:b/>
              </w:rPr>
              <w:t>Contract Application.</w:t>
            </w:r>
            <w:r w:rsidRPr="00D51AE5">
              <w:t xml:space="preserve"> Applications may be submitted a day after the publication date until the last day of submission which shall be sixty (60) days from the date of first publication in accordance with the following requirements:</w:t>
            </w:r>
          </w:p>
        </w:tc>
        <w:tc>
          <w:tcPr>
            <w:tcW w:w="3590" w:type="dxa"/>
          </w:tcPr>
          <w:p w14:paraId="1228E565" w14:textId="77777777" w:rsidR="006C4239" w:rsidRPr="006A1E11" w:rsidRDefault="006C4239" w:rsidP="006A1E11">
            <w:pPr>
              <w:ind w:left="1080"/>
              <w:jc w:val="both"/>
              <w:rPr>
                <w:b/>
                <w:bCs/>
              </w:rPr>
            </w:pPr>
          </w:p>
        </w:tc>
        <w:tc>
          <w:tcPr>
            <w:tcW w:w="4267" w:type="dxa"/>
          </w:tcPr>
          <w:p w14:paraId="414D909C" w14:textId="77777777" w:rsidR="006C4239" w:rsidRPr="006A1E11" w:rsidRDefault="006C4239" w:rsidP="006A1E11">
            <w:pPr>
              <w:ind w:left="1080"/>
              <w:jc w:val="both"/>
              <w:rPr>
                <w:b/>
                <w:bCs/>
              </w:rPr>
            </w:pPr>
          </w:p>
        </w:tc>
      </w:tr>
      <w:tr w:rsidR="006C4239" w:rsidRPr="00D51AE5" w14:paraId="6A62B8C0" w14:textId="253FF48A" w:rsidTr="007639A7">
        <w:tc>
          <w:tcPr>
            <w:tcW w:w="6044" w:type="dxa"/>
          </w:tcPr>
          <w:p w14:paraId="38492D7C" w14:textId="77777777" w:rsidR="006C4239" w:rsidRPr="00D51AE5" w:rsidRDefault="006C4239" w:rsidP="006C4239">
            <w:pPr>
              <w:spacing w:line="276" w:lineRule="auto"/>
              <w:contextualSpacing/>
              <w:jc w:val="both"/>
              <w:rPr>
                <w:rFonts w:ascii="Arial" w:hAnsi="Arial" w:cs="Arial"/>
                <w:lang w:val="en-US"/>
              </w:rPr>
            </w:pPr>
            <w:r w:rsidRPr="00D51AE5">
              <w:rPr>
                <w:rFonts w:ascii="Arial" w:hAnsi="Arial" w:cs="Arial"/>
                <w:lang w:val="en-US"/>
              </w:rPr>
              <w:t xml:space="preserve">4.1.1.The </w:t>
            </w:r>
            <w:r w:rsidRPr="00D51AE5">
              <w:rPr>
                <w:rFonts w:ascii="Arial" w:hAnsi="Arial" w:cs="Arial"/>
                <w:iCs/>
                <w:lang w:val="en-US"/>
              </w:rPr>
              <w:t>OESC</w:t>
            </w:r>
            <w:r w:rsidRPr="00D51AE5">
              <w:rPr>
                <w:rFonts w:ascii="Arial" w:hAnsi="Arial" w:cs="Arial"/>
                <w:lang w:val="en-US"/>
              </w:rPr>
              <w:t xml:space="preserve"> Applicant shall submit to the DOE a Letter of Intent (LOI) following the prescribed format (Annex H) together with the </w:t>
            </w:r>
            <w:r w:rsidRPr="00D51AE5">
              <w:rPr>
                <w:rFonts w:ascii="Arial" w:hAnsi="Arial" w:cs="Arial"/>
                <w:iCs/>
                <w:lang w:val="en-US"/>
              </w:rPr>
              <w:t>OESC</w:t>
            </w:r>
            <w:r w:rsidRPr="00D51AE5">
              <w:rPr>
                <w:rFonts w:ascii="Arial" w:hAnsi="Arial" w:cs="Arial"/>
                <w:lang w:val="en-US"/>
              </w:rPr>
              <w:t xml:space="preserve"> Application in accordance with prescribed Checklist of Requirements (Annex I). The LOI shall be addressed to the REMB Director and shall indicate whether the interested participant will avail of the Certificate of Authority referred to in Sections 6 and 7.1 of this Chapter.</w:t>
            </w:r>
          </w:p>
        </w:tc>
        <w:tc>
          <w:tcPr>
            <w:tcW w:w="3590" w:type="dxa"/>
          </w:tcPr>
          <w:p w14:paraId="61B8CF36" w14:textId="77777777" w:rsidR="006C4239" w:rsidRPr="006A1E11" w:rsidRDefault="006C4239" w:rsidP="006A1E11">
            <w:pPr>
              <w:ind w:left="360"/>
              <w:jc w:val="both"/>
            </w:pPr>
          </w:p>
        </w:tc>
        <w:tc>
          <w:tcPr>
            <w:tcW w:w="4267" w:type="dxa"/>
          </w:tcPr>
          <w:p w14:paraId="21950862" w14:textId="77777777" w:rsidR="006C4239" w:rsidRPr="006A1E11" w:rsidRDefault="006C4239" w:rsidP="006A1E11">
            <w:pPr>
              <w:ind w:left="360"/>
              <w:jc w:val="both"/>
            </w:pPr>
          </w:p>
        </w:tc>
      </w:tr>
      <w:tr w:rsidR="006C4239" w:rsidRPr="00D51AE5" w14:paraId="345BE37C" w14:textId="486A7418" w:rsidTr="007639A7">
        <w:tc>
          <w:tcPr>
            <w:tcW w:w="6044" w:type="dxa"/>
          </w:tcPr>
          <w:p w14:paraId="60263213" w14:textId="23790088" w:rsidR="006C4239" w:rsidRPr="00D51AE5" w:rsidRDefault="006C4239" w:rsidP="006C4239">
            <w:pPr>
              <w:spacing w:line="276" w:lineRule="auto"/>
              <w:contextualSpacing/>
              <w:jc w:val="both"/>
              <w:rPr>
                <w:rFonts w:ascii="Arial" w:hAnsi="Arial" w:cs="Arial"/>
                <w:lang w:val="en-US"/>
              </w:rPr>
            </w:pPr>
            <w:r w:rsidRPr="00D51AE5">
              <w:rPr>
                <w:rFonts w:ascii="Arial" w:hAnsi="Arial" w:cs="Arial"/>
                <w:lang w:val="en-US"/>
              </w:rPr>
              <w:t xml:space="preserve">Each </w:t>
            </w:r>
            <w:r w:rsidRPr="00D51AE5">
              <w:rPr>
                <w:rFonts w:ascii="Arial" w:hAnsi="Arial" w:cs="Arial"/>
                <w:iCs/>
                <w:lang w:val="en-US"/>
              </w:rPr>
              <w:t>OESC</w:t>
            </w:r>
            <w:r w:rsidRPr="00D51AE5">
              <w:rPr>
                <w:rFonts w:ascii="Arial" w:hAnsi="Arial" w:cs="Arial"/>
                <w:lang w:val="en-US"/>
              </w:rPr>
              <w:t xml:space="preserve"> Application shall cover only one PDA as published;</w:t>
            </w:r>
          </w:p>
        </w:tc>
        <w:tc>
          <w:tcPr>
            <w:tcW w:w="3590" w:type="dxa"/>
          </w:tcPr>
          <w:p w14:paraId="07D42F34" w14:textId="77777777" w:rsidR="006C4239" w:rsidRPr="006A1E11" w:rsidRDefault="006C4239" w:rsidP="006A1E11">
            <w:pPr>
              <w:ind w:left="360"/>
              <w:jc w:val="both"/>
            </w:pPr>
          </w:p>
        </w:tc>
        <w:tc>
          <w:tcPr>
            <w:tcW w:w="4267" w:type="dxa"/>
          </w:tcPr>
          <w:p w14:paraId="36F4A7DE" w14:textId="77777777" w:rsidR="006C4239" w:rsidRPr="006A1E11" w:rsidRDefault="006C4239" w:rsidP="006A1E11">
            <w:pPr>
              <w:ind w:left="360"/>
              <w:jc w:val="both"/>
            </w:pPr>
          </w:p>
        </w:tc>
      </w:tr>
      <w:tr w:rsidR="006C4239" w:rsidRPr="00D51AE5" w14:paraId="706FAF2C" w14:textId="401BB160" w:rsidTr="007639A7">
        <w:tc>
          <w:tcPr>
            <w:tcW w:w="6044" w:type="dxa"/>
          </w:tcPr>
          <w:p w14:paraId="21DB2D90" w14:textId="77777777" w:rsidR="006C4239" w:rsidRPr="00D51AE5" w:rsidRDefault="006C4239" w:rsidP="006C4239">
            <w:pPr>
              <w:pStyle w:val="ListParagraph"/>
              <w:numPr>
                <w:ilvl w:val="2"/>
                <w:numId w:val="37"/>
              </w:numPr>
              <w:ind w:left="1985" w:hanging="567"/>
              <w:jc w:val="both"/>
            </w:pPr>
            <w:r w:rsidRPr="00D51AE5">
              <w:t xml:space="preserve">The </w:t>
            </w:r>
            <w:r w:rsidRPr="00D51AE5">
              <w:rPr>
                <w:iCs/>
              </w:rPr>
              <w:t>OESC</w:t>
            </w:r>
            <w:r w:rsidRPr="00D51AE5">
              <w:t xml:space="preserve"> Application must be in both paper and electronic (flash drive in Portable Data Format) copies, which shall use Times New Roman in 12-point font size and employ single line spacing. Figures and maps shall be printed and submitted in a document that is not smaller than A3 size. For legibility, figures and maps shall be submitted at a larger scale (1:10,000) as appendices; and</w:t>
            </w:r>
          </w:p>
        </w:tc>
        <w:tc>
          <w:tcPr>
            <w:tcW w:w="3590" w:type="dxa"/>
          </w:tcPr>
          <w:p w14:paraId="2B520F07" w14:textId="77777777" w:rsidR="006C4239" w:rsidRPr="006A1E11" w:rsidRDefault="006C4239" w:rsidP="006A1E11">
            <w:pPr>
              <w:ind w:left="1980"/>
              <w:jc w:val="both"/>
            </w:pPr>
          </w:p>
        </w:tc>
        <w:tc>
          <w:tcPr>
            <w:tcW w:w="4267" w:type="dxa"/>
          </w:tcPr>
          <w:p w14:paraId="017077A9" w14:textId="77777777" w:rsidR="006C4239" w:rsidRPr="006A1E11" w:rsidRDefault="006C4239" w:rsidP="006A1E11">
            <w:pPr>
              <w:ind w:left="1980"/>
              <w:jc w:val="both"/>
            </w:pPr>
          </w:p>
        </w:tc>
      </w:tr>
      <w:tr w:rsidR="006C4239" w:rsidRPr="00D51AE5" w14:paraId="1896343E" w14:textId="2A4A7B85" w:rsidTr="007639A7">
        <w:tc>
          <w:tcPr>
            <w:tcW w:w="6044" w:type="dxa"/>
          </w:tcPr>
          <w:p w14:paraId="35B91638" w14:textId="77777777" w:rsidR="006C4239" w:rsidRPr="00D51AE5" w:rsidRDefault="006C4239" w:rsidP="006C4239">
            <w:pPr>
              <w:pStyle w:val="ListParagraph"/>
              <w:numPr>
                <w:ilvl w:val="2"/>
                <w:numId w:val="37"/>
              </w:numPr>
              <w:ind w:left="1985" w:hanging="567"/>
              <w:jc w:val="both"/>
            </w:pPr>
            <w:r w:rsidRPr="00D51AE5">
              <w:t xml:space="preserve">An application fee shall be paid by each </w:t>
            </w:r>
            <w:r w:rsidRPr="00D51AE5">
              <w:rPr>
                <w:iCs/>
              </w:rPr>
              <w:t>OESC</w:t>
            </w:r>
            <w:r w:rsidRPr="00D51AE5">
              <w:t xml:space="preserve"> Applicant, along with the submission of </w:t>
            </w:r>
            <w:r w:rsidRPr="00D51AE5">
              <w:rPr>
                <w:iCs/>
              </w:rPr>
              <w:t>OESC</w:t>
            </w:r>
            <w:r w:rsidRPr="00D51AE5">
              <w:t xml:space="preserve"> Application. All payments may be made in cash, manager/company cheque, payable to “Department of Energy” or by wire/bank transfer. All wire/bank transfers should be net of all applicable bank and financial charges.</w:t>
            </w:r>
          </w:p>
        </w:tc>
        <w:tc>
          <w:tcPr>
            <w:tcW w:w="3590" w:type="dxa"/>
          </w:tcPr>
          <w:p w14:paraId="38CBB64D" w14:textId="77777777" w:rsidR="006C4239" w:rsidRPr="006A1E11" w:rsidRDefault="006C4239" w:rsidP="006A1E11">
            <w:pPr>
              <w:ind w:left="1980"/>
              <w:jc w:val="both"/>
            </w:pPr>
          </w:p>
        </w:tc>
        <w:tc>
          <w:tcPr>
            <w:tcW w:w="4267" w:type="dxa"/>
          </w:tcPr>
          <w:p w14:paraId="06715FEE" w14:textId="77777777" w:rsidR="006C4239" w:rsidRPr="006A1E11" w:rsidRDefault="006C4239" w:rsidP="006A1E11">
            <w:pPr>
              <w:ind w:left="1980"/>
              <w:jc w:val="both"/>
            </w:pPr>
          </w:p>
        </w:tc>
      </w:tr>
      <w:tr w:rsidR="006C4239" w:rsidRPr="00D51AE5" w14:paraId="6BF92CF4" w14:textId="7C08E586" w:rsidTr="007639A7">
        <w:tc>
          <w:tcPr>
            <w:tcW w:w="6044" w:type="dxa"/>
          </w:tcPr>
          <w:p w14:paraId="2144EB07" w14:textId="77777777" w:rsidR="006C4239" w:rsidRPr="00D51AE5" w:rsidRDefault="006C4239" w:rsidP="006C4239">
            <w:pPr>
              <w:pStyle w:val="ListParagraph"/>
              <w:numPr>
                <w:ilvl w:val="1"/>
                <w:numId w:val="37"/>
              </w:numPr>
              <w:ind w:left="709"/>
              <w:jc w:val="both"/>
            </w:pPr>
            <w:r w:rsidRPr="00D51AE5">
              <w:rPr>
                <w:b/>
              </w:rPr>
              <w:t xml:space="preserve">Opening and Evaluation of </w:t>
            </w:r>
            <w:r w:rsidRPr="00D51AE5">
              <w:rPr>
                <w:b/>
                <w:bCs/>
              </w:rPr>
              <w:t xml:space="preserve">Ocean Energy Service Contract </w:t>
            </w:r>
            <w:r w:rsidRPr="00D51AE5">
              <w:rPr>
                <w:b/>
              </w:rPr>
              <w:t>Applications.</w:t>
            </w:r>
            <w:r w:rsidRPr="00D51AE5">
              <w:t xml:space="preserve"> The DOE shall open the applications at exactly 1300H, on the last day of the submission of </w:t>
            </w:r>
            <w:r w:rsidRPr="00D51AE5">
              <w:rPr>
                <w:iCs/>
              </w:rPr>
              <w:t>OESC</w:t>
            </w:r>
            <w:r w:rsidRPr="00D51AE5">
              <w:t xml:space="preserve"> Applications.</w:t>
            </w:r>
          </w:p>
        </w:tc>
        <w:tc>
          <w:tcPr>
            <w:tcW w:w="3590" w:type="dxa"/>
          </w:tcPr>
          <w:p w14:paraId="4BD8E45A" w14:textId="77777777" w:rsidR="006C4239" w:rsidRPr="006A1E11" w:rsidRDefault="006C4239" w:rsidP="006A1E11">
            <w:pPr>
              <w:ind w:left="1080"/>
              <w:jc w:val="both"/>
              <w:rPr>
                <w:b/>
              </w:rPr>
            </w:pPr>
          </w:p>
        </w:tc>
        <w:tc>
          <w:tcPr>
            <w:tcW w:w="4267" w:type="dxa"/>
          </w:tcPr>
          <w:p w14:paraId="7C5A2F40" w14:textId="77777777" w:rsidR="006C4239" w:rsidRPr="006A1E11" w:rsidRDefault="006C4239" w:rsidP="006A1E11">
            <w:pPr>
              <w:ind w:left="1080"/>
              <w:jc w:val="both"/>
              <w:rPr>
                <w:b/>
              </w:rPr>
            </w:pPr>
          </w:p>
        </w:tc>
      </w:tr>
      <w:tr w:rsidR="006C4239" w:rsidRPr="00D51AE5" w14:paraId="2E2E1F6A" w14:textId="42EB6AF8" w:rsidTr="007639A7">
        <w:tc>
          <w:tcPr>
            <w:tcW w:w="6044" w:type="dxa"/>
          </w:tcPr>
          <w:p w14:paraId="44D8046A" w14:textId="77777777" w:rsidR="006C4239" w:rsidRPr="00D51AE5" w:rsidRDefault="006C4239" w:rsidP="006C4239">
            <w:pPr>
              <w:pStyle w:val="ListParagraph"/>
              <w:numPr>
                <w:ilvl w:val="1"/>
                <w:numId w:val="37"/>
              </w:numPr>
              <w:ind w:left="709"/>
              <w:jc w:val="both"/>
            </w:pPr>
            <w:r w:rsidRPr="00D51AE5">
              <w:rPr>
                <w:b/>
              </w:rPr>
              <w:t>Evaluation, Selection and Award.</w:t>
            </w:r>
            <w:r w:rsidRPr="00D51AE5">
              <w:t xml:space="preserve"> The evaluation and selection of </w:t>
            </w:r>
            <w:r w:rsidRPr="00D51AE5">
              <w:rPr>
                <w:iCs/>
              </w:rPr>
              <w:t>OESC</w:t>
            </w:r>
            <w:r w:rsidRPr="00D51AE5">
              <w:t xml:space="preserve"> Applications and award of </w:t>
            </w:r>
            <w:r w:rsidRPr="00D51AE5">
              <w:rPr>
                <w:iCs/>
              </w:rPr>
              <w:t>OESC</w:t>
            </w:r>
            <w:r w:rsidRPr="00D51AE5">
              <w:t xml:space="preserve"> shall be conducted following the criteria and procedures set hereunder:</w:t>
            </w:r>
          </w:p>
        </w:tc>
        <w:tc>
          <w:tcPr>
            <w:tcW w:w="3590" w:type="dxa"/>
          </w:tcPr>
          <w:p w14:paraId="36C755BD" w14:textId="77777777" w:rsidR="006C4239" w:rsidRPr="006A1E11" w:rsidRDefault="006C4239" w:rsidP="006A1E11">
            <w:pPr>
              <w:ind w:left="1080"/>
              <w:jc w:val="both"/>
              <w:rPr>
                <w:b/>
              </w:rPr>
            </w:pPr>
          </w:p>
        </w:tc>
        <w:tc>
          <w:tcPr>
            <w:tcW w:w="4267" w:type="dxa"/>
          </w:tcPr>
          <w:p w14:paraId="5C739178" w14:textId="77777777" w:rsidR="006C4239" w:rsidRPr="006A1E11" w:rsidRDefault="006C4239" w:rsidP="006A1E11">
            <w:pPr>
              <w:ind w:left="1080"/>
              <w:jc w:val="both"/>
              <w:rPr>
                <w:b/>
              </w:rPr>
            </w:pPr>
          </w:p>
        </w:tc>
      </w:tr>
      <w:tr w:rsidR="006C4239" w:rsidRPr="00D51AE5" w14:paraId="1F1F74F8" w14:textId="69F35B0F" w:rsidTr="007639A7">
        <w:tc>
          <w:tcPr>
            <w:tcW w:w="6044" w:type="dxa"/>
          </w:tcPr>
          <w:p w14:paraId="6ED5E783" w14:textId="77777777" w:rsidR="006C4239" w:rsidRPr="00D51AE5" w:rsidRDefault="006C4239" w:rsidP="006C4239">
            <w:pPr>
              <w:pStyle w:val="ListParagraph"/>
              <w:numPr>
                <w:ilvl w:val="2"/>
                <w:numId w:val="38"/>
              </w:numPr>
              <w:ind w:left="1985" w:hanging="567"/>
              <w:jc w:val="both"/>
            </w:pPr>
            <w:r w:rsidRPr="00D51AE5">
              <w:t xml:space="preserve">Applications with incomplete documents based on the Checklist of Requirements shall be automatically disqualified during the opening of </w:t>
            </w:r>
            <w:r w:rsidRPr="00D51AE5">
              <w:rPr>
                <w:iCs/>
              </w:rPr>
              <w:t>OESC</w:t>
            </w:r>
            <w:r w:rsidRPr="00D51AE5">
              <w:t xml:space="preserve"> Applications. No additional documents shall be accepted after the deadline for submission of </w:t>
            </w:r>
            <w:r w:rsidRPr="00D51AE5">
              <w:rPr>
                <w:iCs/>
              </w:rPr>
              <w:t>OESC</w:t>
            </w:r>
            <w:r w:rsidRPr="00D51AE5">
              <w:t xml:space="preserve"> Applications.</w:t>
            </w:r>
          </w:p>
        </w:tc>
        <w:tc>
          <w:tcPr>
            <w:tcW w:w="3590" w:type="dxa"/>
          </w:tcPr>
          <w:p w14:paraId="5A8627A0" w14:textId="77777777" w:rsidR="006C4239" w:rsidRPr="006A1E11" w:rsidRDefault="006C4239" w:rsidP="006A1E11">
            <w:pPr>
              <w:ind w:left="1980"/>
              <w:jc w:val="both"/>
            </w:pPr>
          </w:p>
        </w:tc>
        <w:tc>
          <w:tcPr>
            <w:tcW w:w="4267" w:type="dxa"/>
          </w:tcPr>
          <w:p w14:paraId="37F934CD" w14:textId="77777777" w:rsidR="006C4239" w:rsidRPr="006A1E11" w:rsidRDefault="006C4239" w:rsidP="006A1E11">
            <w:pPr>
              <w:ind w:left="1980"/>
              <w:jc w:val="both"/>
            </w:pPr>
          </w:p>
        </w:tc>
      </w:tr>
      <w:tr w:rsidR="006C4239" w:rsidRPr="00D51AE5" w14:paraId="091CB64B" w14:textId="4B0936A3" w:rsidTr="007639A7">
        <w:tc>
          <w:tcPr>
            <w:tcW w:w="6044" w:type="dxa"/>
          </w:tcPr>
          <w:p w14:paraId="7C955CF9" w14:textId="77777777" w:rsidR="006C4239" w:rsidRPr="00D51AE5" w:rsidRDefault="006C4239" w:rsidP="006C4239">
            <w:pPr>
              <w:pStyle w:val="ListParagraph"/>
              <w:numPr>
                <w:ilvl w:val="2"/>
                <w:numId w:val="38"/>
              </w:numPr>
              <w:ind w:left="1985" w:hanging="567"/>
              <w:jc w:val="both"/>
            </w:pPr>
            <w:r w:rsidRPr="00D51AE5">
              <w:rPr>
                <w:iCs/>
              </w:rPr>
              <w:t>OESC</w:t>
            </w:r>
            <w:r w:rsidRPr="00D51AE5">
              <w:t xml:space="preserve"> Applicants shall be duly informed by the Review Committee (REC) Chairperson whether their application passed the completeness check and shall be subjected to further legal, technical, and financial evaluations. Applicants who were disqualified for submitting incomplete documents shall likewise be informed by the REC Chairperson of the fact of their disqualification and the reasons therefor.</w:t>
            </w:r>
          </w:p>
        </w:tc>
        <w:tc>
          <w:tcPr>
            <w:tcW w:w="3590" w:type="dxa"/>
          </w:tcPr>
          <w:p w14:paraId="62449148" w14:textId="77777777" w:rsidR="006C4239" w:rsidRPr="006A1E11" w:rsidRDefault="006C4239" w:rsidP="006A1E11">
            <w:pPr>
              <w:ind w:left="1980"/>
              <w:jc w:val="both"/>
              <w:rPr>
                <w:iCs/>
              </w:rPr>
            </w:pPr>
          </w:p>
        </w:tc>
        <w:tc>
          <w:tcPr>
            <w:tcW w:w="4267" w:type="dxa"/>
          </w:tcPr>
          <w:p w14:paraId="3B81EB80" w14:textId="77777777" w:rsidR="006C4239" w:rsidRPr="006A1E11" w:rsidRDefault="006C4239" w:rsidP="006A1E11">
            <w:pPr>
              <w:ind w:left="1980"/>
              <w:jc w:val="both"/>
              <w:rPr>
                <w:iCs/>
              </w:rPr>
            </w:pPr>
          </w:p>
        </w:tc>
      </w:tr>
      <w:tr w:rsidR="006C4239" w:rsidRPr="00D51AE5" w14:paraId="2669099A" w14:textId="08D69651" w:rsidTr="007639A7">
        <w:tc>
          <w:tcPr>
            <w:tcW w:w="6044" w:type="dxa"/>
          </w:tcPr>
          <w:p w14:paraId="2D8A1C36" w14:textId="77777777" w:rsidR="006C4239" w:rsidRPr="00D51AE5" w:rsidRDefault="006C4239" w:rsidP="006C4239">
            <w:pPr>
              <w:pStyle w:val="ListParagraph"/>
              <w:ind w:left="0"/>
              <w:rPr>
                <w:iCs/>
              </w:rPr>
            </w:pPr>
          </w:p>
        </w:tc>
        <w:tc>
          <w:tcPr>
            <w:tcW w:w="3590" w:type="dxa"/>
          </w:tcPr>
          <w:p w14:paraId="248B346B" w14:textId="77777777" w:rsidR="006C4239" w:rsidRPr="006A1E11" w:rsidRDefault="006C4239" w:rsidP="006A1E11">
            <w:pPr>
              <w:ind w:left="360"/>
              <w:rPr>
                <w:iCs/>
              </w:rPr>
            </w:pPr>
          </w:p>
        </w:tc>
        <w:tc>
          <w:tcPr>
            <w:tcW w:w="4267" w:type="dxa"/>
          </w:tcPr>
          <w:p w14:paraId="2B5161DE" w14:textId="77777777" w:rsidR="006C4239" w:rsidRPr="006A1E11" w:rsidRDefault="006C4239" w:rsidP="006A1E11">
            <w:pPr>
              <w:ind w:left="360"/>
              <w:rPr>
                <w:iCs/>
              </w:rPr>
            </w:pPr>
          </w:p>
        </w:tc>
      </w:tr>
      <w:tr w:rsidR="006C4239" w:rsidRPr="00D51AE5" w14:paraId="358371B6" w14:textId="420F8F57" w:rsidTr="007639A7">
        <w:tc>
          <w:tcPr>
            <w:tcW w:w="6044" w:type="dxa"/>
          </w:tcPr>
          <w:p w14:paraId="26A22573" w14:textId="77777777" w:rsidR="006C4239" w:rsidRPr="00D51AE5" w:rsidRDefault="006C4239" w:rsidP="006C4239">
            <w:pPr>
              <w:pStyle w:val="ListParagraph"/>
              <w:numPr>
                <w:ilvl w:val="2"/>
                <w:numId w:val="38"/>
              </w:numPr>
              <w:ind w:left="1985" w:hanging="567"/>
              <w:jc w:val="both"/>
            </w:pPr>
            <w:r w:rsidRPr="00D51AE5">
              <w:rPr>
                <w:iCs/>
              </w:rPr>
              <w:t>OESC</w:t>
            </w:r>
            <w:r w:rsidRPr="00D51AE5">
              <w:t xml:space="preserve"> Applications which passed the completeness check shall be evaluated based on the following criteria:</w:t>
            </w:r>
          </w:p>
        </w:tc>
        <w:tc>
          <w:tcPr>
            <w:tcW w:w="3590" w:type="dxa"/>
          </w:tcPr>
          <w:p w14:paraId="4DA1883B" w14:textId="77777777" w:rsidR="006C4239" w:rsidRPr="006A1E11" w:rsidRDefault="006C4239" w:rsidP="006A1E11">
            <w:pPr>
              <w:ind w:left="1980"/>
              <w:jc w:val="both"/>
              <w:rPr>
                <w:iCs/>
              </w:rPr>
            </w:pPr>
          </w:p>
        </w:tc>
        <w:tc>
          <w:tcPr>
            <w:tcW w:w="4267" w:type="dxa"/>
          </w:tcPr>
          <w:p w14:paraId="69FADADD" w14:textId="77777777" w:rsidR="006C4239" w:rsidRPr="006A1E11" w:rsidRDefault="006C4239" w:rsidP="006A1E11">
            <w:pPr>
              <w:ind w:left="1980"/>
              <w:jc w:val="both"/>
              <w:rPr>
                <w:iCs/>
              </w:rPr>
            </w:pPr>
          </w:p>
        </w:tc>
      </w:tr>
      <w:tr w:rsidR="006C4239" w:rsidRPr="00D51AE5" w14:paraId="4BA07D6F" w14:textId="3A28F7CA" w:rsidTr="007639A7">
        <w:tc>
          <w:tcPr>
            <w:tcW w:w="6044" w:type="dxa"/>
          </w:tcPr>
          <w:p w14:paraId="0EAE3128" w14:textId="77777777" w:rsidR="006C4239" w:rsidRPr="00D51AE5" w:rsidRDefault="006C4239" w:rsidP="006C4239">
            <w:pPr>
              <w:pStyle w:val="ListParagraph"/>
              <w:ind w:left="0"/>
              <w:jc w:val="both"/>
            </w:pPr>
          </w:p>
        </w:tc>
        <w:tc>
          <w:tcPr>
            <w:tcW w:w="3590" w:type="dxa"/>
          </w:tcPr>
          <w:p w14:paraId="7AB55767" w14:textId="77777777" w:rsidR="006C4239" w:rsidRPr="006A1E11" w:rsidRDefault="006C4239" w:rsidP="006A1E11">
            <w:pPr>
              <w:ind w:left="360"/>
              <w:jc w:val="both"/>
            </w:pPr>
          </w:p>
        </w:tc>
        <w:tc>
          <w:tcPr>
            <w:tcW w:w="4267" w:type="dxa"/>
          </w:tcPr>
          <w:p w14:paraId="50B6E28A" w14:textId="77777777" w:rsidR="006C4239" w:rsidRPr="006A1E11" w:rsidRDefault="006C4239" w:rsidP="006A1E11">
            <w:pPr>
              <w:ind w:left="360"/>
              <w:jc w:val="both"/>
            </w:pPr>
          </w:p>
        </w:tc>
      </w:tr>
      <w:tr w:rsidR="006C4239" w:rsidRPr="00D51AE5" w14:paraId="17E0E19C" w14:textId="3B4DCD39" w:rsidTr="007639A7">
        <w:tc>
          <w:tcPr>
            <w:tcW w:w="6044" w:type="dxa"/>
          </w:tcPr>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4"/>
              <w:gridCol w:w="2304"/>
            </w:tblGrid>
            <w:tr w:rsidR="006C4239" w:rsidRPr="00D51AE5" w14:paraId="34ECB262" w14:textId="77777777" w:rsidTr="000F3600">
              <w:trPr>
                <w:trHeight w:val="273"/>
              </w:trPr>
              <w:tc>
                <w:tcPr>
                  <w:tcW w:w="3025" w:type="dxa"/>
                </w:tcPr>
                <w:p w14:paraId="66F8E41D" w14:textId="77777777" w:rsidR="006C4239" w:rsidRPr="00D51AE5" w:rsidRDefault="006C4239" w:rsidP="006C4239">
                  <w:pPr>
                    <w:widowControl w:val="0"/>
                    <w:autoSpaceDE w:val="0"/>
                    <w:autoSpaceDN w:val="0"/>
                    <w:spacing w:after="0" w:line="240" w:lineRule="auto"/>
                    <w:ind w:left="106"/>
                    <w:contextualSpacing/>
                    <w:jc w:val="both"/>
                    <w:rPr>
                      <w:rFonts w:ascii="Arial" w:eastAsia="Arial" w:hAnsi="Arial" w:cs="Arial"/>
                      <w:kern w:val="0"/>
                      <w:sz w:val="24"/>
                      <w:szCs w:val="24"/>
                      <w:lang w:val="en-US"/>
                      <w14:ligatures w14:val="none"/>
                    </w:rPr>
                  </w:pPr>
                  <w:r w:rsidRPr="00D51AE5">
                    <w:rPr>
                      <w:rFonts w:ascii="Arial" w:eastAsia="Arial" w:hAnsi="Arial" w:cs="Arial"/>
                      <w:kern w:val="0"/>
                      <w:sz w:val="24"/>
                      <w:szCs w:val="24"/>
                      <w:lang w:val="en-US"/>
                      <w14:ligatures w14:val="none"/>
                    </w:rPr>
                    <w:t>Legal</w:t>
                  </w:r>
                  <w:r w:rsidRPr="00D51AE5">
                    <w:rPr>
                      <w:rFonts w:ascii="Arial" w:eastAsia="Arial" w:hAnsi="Arial" w:cs="Arial"/>
                      <w:spacing w:val="-7"/>
                      <w:kern w:val="0"/>
                      <w:sz w:val="24"/>
                      <w:szCs w:val="24"/>
                      <w:lang w:val="en-US"/>
                      <w14:ligatures w14:val="none"/>
                    </w:rPr>
                    <w:t xml:space="preserve"> </w:t>
                  </w:r>
                  <w:r w:rsidRPr="00D51AE5">
                    <w:rPr>
                      <w:rFonts w:ascii="Arial" w:eastAsia="Arial" w:hAnsi="Arial" w:cs="Arial"/>
                      <w:spacing w:val="-2"/>
                      <w:kern w:val="0"/>
                      <w:sz w:val="24"/>
                      <w:szCs w:val="24"/>
                      <w:lang w:val="en-US"/>
                      <w14:ligatures w14:val="none"/>
                    </w:rPr>
                    <w:t>Qualification</w:t>
                  </w:r>
                </w:p>
              </w:tc>
              <w:tc>
                <w:tcPr>
                  <w:tcW w:w="2341" w:type="dxa"/>
                </w:tcPr>
                <w:p w14:paraId="75540FBD" w14:textId="77777777" w:rsidR="006C4239" w:rsidRPr="00D51AE5" w:rsidRDefault="006C4239" w:rsidP="006C4239">
                  <w:pPr>
                    <w:widowControl w:val="0"/>
                    <w:autoSpaceDE w:val="0"/>
                    <w:autoSpaceDN w:val="0"/>
                    <w:spacing w:after="0" w:line="240" w:lineRule="auto"/>
                    <w:ind w:left="663" w:right="659"/>
                    <w:contextualSpacing/>
                    <w:jc w:val="both"/>
                    <w:rPr>
                      <w:rFonts w:ascii="Arial" w:eastAsia="Arial" w:hAnsi="Arial" w:cs="Arial"/>
                      <w:kern w:val="0"/>
                      <w:sz w:val="24"/>
                      <w:szCs w:val="24"/>
                      <w:lang w:val="en-US"/>
                      <w14:ligatures w14:val="none"/>
                    </w:rPr>
                  </w:pPr>
                  <w:r w:rsidRPr="00D51AE5">
                    <w:rPr>
                      <w:rFonts w:ascii="Arial" w:eastAsia="Arial" w:hAnsi="Arial" w:cs="Arial"/>
                      <w:spacing w:val="-2"/>
                      <w:kern w:val="0"/>
                      <w:sz w:val="24"/>
                      <w:szCs w:val="24"/>
                      <w:lang w:val="en-US"/>
                      <w14:ligatures w14:val="none"/>
                    </w:rPr>
                    <w:t>Pass/Fail</w:t>
                  </w:r>
                </w:p>
              </w:tc>
            </w:tr>
            <w:tr w:rsidR="006C4239" w:rsidRPr="00D51AE5" w14:paraId="5F4DB63C" w14:textId="77777777" w:rsidTr="000F3600">
              <w:trPr>
                <w:trHeight w:val="277"/>
              </w:trPr>
              <w:tc>
                <w:tcPr>
                  <w:tcW w:w="3025" w:type="dxa"/>
                </w:tcPr>
                <w:p w14:paraId="778422A7" w14:textId="77777777" w:rsidR="006C4239" w:rsidRPr="00D51AE5" w:rsidRDefault="006C4239" w:rsidP="006C4239">
                  <w:pPr>
                    <w:widowControl w:val="0"/>
                    <w:autoSpaceDE w:val="0"/>
                    <w:autoSpaceDN w:val="0"/>
                    <w:spacing w:after="0" w:line="240" w:lineRule="auto"/>
                    <w:ind w:left="106"/>
                    <w:contextualSpacing/>
                    <w:jc w:val="both"/>
                    <w:rPr>
                      <w:rFonts w:ascii="Arial" w:eastAsia="Arial" w:hAnsi="Arial" w:cs="Arial"/>
                      <w:kern w:val="0"/>
                      <w:sz w:val="24"/>
                      <w:szCs w:val="24"/>
                      <w:lang w:val="en-US"/>
                      <w14:ligatures w14:val="none"/>
                    </w:rPr>
                  </w:pPr>
                  <w:r w:rsidRPr="00D51AE5">
                    <w:rPr>
                      <w:rFonts w:ascii="Arial" w:eastAsia="Arial" w:hAnsi="Arial" w:cs="Arial"/>
                      <w:kern w:val="0"/>
                      <w:sz w:val="24"/>
                      <w:szCs w:val="24"/>
                      <w:lang w:val="en-US"/>
                      <w14:ligatures w14:val="none"/>
                    </w:rPr>
                    <w:t>Work</w:t>
                  </w:r>
                  <w:r w:rsidRPr="00D51AE5">
                    <w:rPr>
                      <w:rFonts w:ascii="Arial" w:eastAsia="Arial" w:hAnsi="Arial" w:cs="Arial"/>
                      <w:spacing w:val="1"/>
                      <w:kern w:val="0"/>
                      <w:sz w:val="24"/>
                      <w:szCs w:val="24"/>
                      <w:lang w:val="en-US"/>
                      <w14:ligatures w14:val="none"/>
                    </w:rPr>
                    <w:t xml:space="preserve"> </w:t>
                  </w:r>
                  <w:r w:rsidRPr="00D51AE5">
                    <w:rPr>
                      <w:rFonts w:ascii="Arial" w:eastAsia="Arial" w:hAnsi="Arial" w:cs="Arial"/>
                      <w:spacing w:val="-2"/>
                      <w:kern w:val="0"/>
                      <w:sz w:val="24"/>
                      <w:szCs w:val="24"/>
                      <w:lang w:val="en-US"/>
                      <w14:ligatures w14:val="none"/>
                    </w:rPr>
                    <w:t>Program</w:t>
                  </w:r>
                </w:p>
              </w:tc>
              <w:tc>
                <w:tcPr>
                  <w:tcW w:w="2341" w:type="dxa"/>
                </w:tcPr>
                <w:p w14:paraId="233264B2" w14:textId="77777777" w:rsidR="006C4239" w:rsidRPr="00D51AE5" w:rsidRDefault="006C4239" w:rsidP="006C4239">
                  <w:pPr>
                    <w:widowControl w:val="0"/>
                    <w:autoSpaceDE w:val="0"/>
                    <w:autoSpaceDN w:val="0"/>
                    <w:spacing w:after="0" w:line="240" w:lineRule="auto"/>
                    <w:ind w:left="659" w:right="659"/>
                    <w:contextualSpacing/>
                    <w:jc w:val="both"/>
                    <w:rPr>
                      <w:rFonts w:ascii="Arial" w:eastAsia="Arial" w:hAnsi="Arial" w:cs="Arial"/>
                      <w:kern w:val="0"/>
                      <w:sz w:val="24"/>
                      <w:szCs w:val="24"/>
                      <w:lang w:val="en-US"/>
                      <w14:ligatures w14:val="none"/>
                    </w:rPr>
                  </w:pPr>
                  <w:r w:rsidRPr="00D51AE5">
                    <w:rPr>
                      <w:rFonts w:ascii="Arial" w:eastAsia="Arial" w:hAnsi="Arial" w:cs="Arial"/>
                      <w:spacing w:val="-5"/>
                      <w:kern w:val="0"/>
                      <w:sz w:val="24"/>
                      <w:szCs w:val="24"/>
                      <w:lang w:val="en-US"/>
                      <w14:ligatures w14:val="none"/>
                    </w:rPr>
                    <w:t>40%</w:t>
                  </w:r>
                </w:p>
              </w:tc>
            </w:tr>
            <w:tr w:rsidR="006C4239" w:rsidRPr="00D51AE5" w14:paraId="6D72A5FA" w14:textId="77777777" w:rsidTr="000F3600">
              <w:trPr>
                <w:trHeight w:val="274"/>
              </w:trPr>
              <w:tc>
                <w:tcPr>
                  <w:tcW w:w="3025" w:type="dxa"/>
                </w:tcPr>
                <w:p w14:paraId="43551721" w14:textId="77777777" w:rsidR="006C4239" w:rsidRPr="00D51AE5" w:rsidRDefault="006C4239" w:rsidP="006C4239">
                  <w:pPr>
                    <w:widowControl w:val="0"/>
                    <w:autoSpaceDE w:val="0"/>
                    <w:autoSpaceDN w:val="0"/>
                    <w:spacing w:after="0" w:line="240" w:lineRule="auto"/>
                    <w:ind w:left="106"/>
                    <w:contextualSpacing/>
                    <w:jc w:val="both"/>
                    <w:rPr>
                      <w:rFonts w:ascii="Arial" w:eastAsia="Arial" w:hAnsi="Arial" w:cs="Arial"/>
                      <w:kern w:val="0"/>
                      <w:sz w:val="24"/>
                      <w:szCs w:val="24"/>
                      <w:lang w:val="en-US"/>
                      <w14:ligatures w14:val="none"/>
                    </w:rPr>
                  </w:pPr>
                  <w:r w:rsidRPr="00D51AE5">
                    <w:rPr>
                      <w:rFonts w:ascii="Arial" w:eastAsia="Arial" w:hAnsi="Arial" w:cs="Arial"/>
                      <w:kern w:val="0"/>
                      <w:sz w:val="24"/>
                      <w:szCs w:val="24"/>
                      <w:lang w:val="en-US"/>
                      <w14:ligatures w14:val="none"/>
                    </w:rPr>
                    <w:t>Technical</w:t>
                  </w:r>
                  <w:r w:rsidRPr="00D51AE5">
                    <w:rPr>
                      <w:rFonts w:ascii="Arial" w:eastAsia="Arial" w:hAnsi="Arial" w:cs="Arial"/>
                      <w:spacing w:val="-6"/>
                      <w:kern w:val="0"/>
                      <w:sz w:val="24"/>
                      <w:szCs w:val="24"/>
                      <w:lang w:val="en-US"/>
                      <w14:ligatures w14:val="none"/>
                    </w:rPr>
                    <w:t xml:space="preserve"> </w:t>
                  </w:r>
                  <w:r w:rsidRPr="00D51AE5">
                    <w:rPr>
                      <w:rFonts w:ascii="Arial" w:eastAsia="Arial" w:hAnsi="Arial" w:cs="Arial"/>
                      <w:spacing w:val="-2"/>
                      <w:kern w:val="0"/>
                      <w:sz w:val="24"/>
                      <w:szCs w:val="24"/>
                      <w:lang w:val="en-US"/>
                      <w14:ligatures w14:val="none"/>
                    </w:rPr>
                    <w:t>Qualification</w:t>
                  </w:r>
                </w:p>
              </w:tc>
              <w:tc>
                <w:tcPr>
                  <w:tcW w:w="2341" w:type="dxa"/>
                </w:tcPr>
                <w:p w14:paraId="32652614" w14:textId="77777777" w:rsidR="006C4239" w:rsidRPr="00D51AE5" w:rsidRDefault="006C4239" w:rsidP="006C4239">
                  <w:pPr>
                    <w:widowControl w:val="0"/>
                    <w:autoSpaceDE w:val="0"/>
                    <w:autoSpaceDN w:val="0"/>
                    <w:spacing w:after="0" w:line="240" w:lineRule="auto"/>
                    <w:ind w:left="659" w:right="659"/>
                    <w:contextualSpacing/>
                    <w:jc w:val="both"/>
                    <w:rPr>
                      <w:rFonts w:ascii="Arial" w:eastAsia="Arial" w:hAnsi="Arial" w:cs="Arial"/>
                      <w:kern w:val="0"/>
                      <w:sz w:val="24"/>
                      <w:szCs w:val="24"/>
                      <w:lang w:val="en-US"/>
                      <w14:ligatures w14:val="none"/>
                    </w:rPr>
                  </w:pPr>
                  <w:r w:rsidRPr="00D51AE5">
                    <w:rPr>
                      <w:rFonts w:ascii="Arial" w:eastAsia="Arial" w:hAnsi="Arial" w:cs="Arial"/>
                      <w:spacing w:val="-5"/>
                      <w:kern w:val="0"/>
                      <w:sz w:val="24"/>
                      <w:szCs w:val="24"/>
                      <w:lang w:val="en-US"/>
                      <w14:ligatures w14:val="none"/>
                    </w:rPr>
                    <w:t>20%</w:t>
                  </w:r>
                </w:p>
              </w:tc>
            </w:tr>
            <w:tr w:rsidR="006C4239" w:rsidRPr="00D51AE5" w14:paraId="59C2C3F5" w14:textId="77777777" w:rsidTr="000F3600">
              <w:trPr>
                <w:trHeight w:val="274"/>
              </w:trPr>
              <w:tc>
                <w:tcPr>
                  <w:tcW w:w="3025" w:type="dxa"/>
                </w:tcPr>
                <w:p w14:paraId="62566A6B" w14:textId="77777777" w:rsidR="006C4239" w:rsidRPr="00D51AE5" w:rsidRDefault="006C4239" w:rsidP="006C4239">
                  <w:pPr>
                    <w:widowControl w:val="0"/>
                    <w:autoSpaceDE w:val="0"/>
                    <w:autoSpaceDN w:val="0"/>
                    <w:spacing w:after="0" w:line="240" w:lineRule="auto"/>
                    <w:ind w:left="106"/>
                    <w:contextualSpacing/>
                    <w:jc w:val="both"/>
                    <w:rPr>
                      <w:rFonts w:ascii="Arial" w:eastAsia="Arial" w:hAnsi="Arial" w:cs="Arial"/>
                      <w:kern w:val="0"/>
                      <w:sz w:val="24"/>
                      <w:szCs w:val="24"/>
                      <w:lang w:val="en-US"/>
                      <w14:ligatures w14:val="none"/>
                    </w:rPr>
                  </w:pPr>
                  <w:r w:rsidRPr="00D51AE5">
                    <w:rPr>
                      <w:rFonts w:ascii="Arial" w:eastAsia="Arial" w:hAnsi="Arial" w:cs="Arial"/>
                      <w:kern w:val="0"/>
                      <w:sz w:val="24"/>
                      <w:szCs w:val="24"/>
                      <w:lang w:val="en-US"/>
                      <w14:ligatures w14:val="none"/>
                    </w:rPr>
                    <w:t>Financial</w:t>
                  </w:r>
                  <w:r w:rsidRPr="00D51AE5">
                    <w:rPr>
                      <w:rFonts w:ascii="Arial" w:eastAsia="Arial" w:hAnsi="Arial" w:cs="Arial"/>
                      <w:spacing w:val="-8"/>
                      <w:kern w:val="0"/>
                      <w:sz w:val="24"/>
                      <w:szCs w:val="24"/>
                      <w:lang w:val="en-US"/>
                      <w14:ligatures w14:val="none"/>
                    </w:rPr>
                    <w:t xml:space="preserve"> </w:t>
                  </w:r>
                  <w:r w:rsidRPr="00D51AE5">
                    <w:rPr>
                      <w:rFonts w:ascii="Arial" w:eastAsia="Arial" w:hAnsi="Arial" w:cs="Arial"/>
                      <w:spacing w:val="-2"/>
                      <w:kern w:val="0"/>
                      <w:sz w:val="24"/>
                      <w:szCs w:val="24"/>
                      <w:lang w:val="en-US"/>
                      <w14:ligatures w14:val="none"/>
                    </w:rPr>
                    <w:t>Qualification</w:t>
                  </w:r>
                </w:p>
              </w:tc>
              <w:tc>
                <w:tcPr>
                  <w:tcW w:w="2341" w:type="dxa"/>
                </w:tcPr>
                <w:p w14:paraId="283D7BCA" w14:textId="77777777" w:rsidR="006C4239" w:rsidRPr="00D51AE5" w:rsidRDefault="006C4239" w:rsidP="006C4239">
                  <w:pPr>
                    <w:widowControl w:val="0"/>
                    <w:autoSpaceDE w:val="0"/>
                    <w:autoSpaceDN w:val="0"/>
                    <w:spacing w:after="0" w:line="240" w:lineRule="auto"/>
                    <w:ind w:left="659" w:right="659"/>
                    <w:contextualSpacing/>
                    <w:jc w:val="both"/>
                    <w:rPr>
                      <w:rFonts w:ascii="Arial" w:eastAsia="Arial" w:hAnsi="Arial" w:cs="Arial"/>
                      <w:kern w:val="0"/>
                      <w:sz w:val="24"/>
                      <w:szCs w:val="24"/>
                      <w:lang w:val="en-US"/>
                      <w14:ligatures w14:val="none"/>
                    </w:rPr>
                  </w:pPr>
                  <w:r w:rsidRPr="00D51AE5">
                    <w:rPr>
                      <w:rFonts w:ascii="Arial" w:eastAsia="Arial" w:hAnsi="Arial" w:cs="Arial"/>
                      <w:spacing w:val="-5"/>
                      <w:kern w:val="0"/>
                      <w:sz w:val="24"/>
                      <w:szCs w:val="24"/>
                      <w:lang w:val="en-US"/>
                      <w14:ligatures w14:val="none"/>
                    </w:rPr>
                    <w:t>40%</w:t>
                  </w:r>
                </w:p>
              </w:tc>
            </w:tr>
          </w:tbl>
          <w:p w14:paraId="1FE46419" w14:textId="77777777" w:rsidR="006C4239" w:rsidRPr="00D51AE5" w:rsidRDefault="006C4239" w:rsidP="006C4239">
            <w:pPr>
              <w:spacing w:line="276" w:lineRule="auto"/>
              <w:contextualSpacing/>
              <w:jc w:val="both"/>
              <w:rPr>
                <w:rFonts w:ascii="Arial" w:hAnsi="Arial" w:cs="Arial"/>
                <w:lang w:val="en-US"/>
              </w:rPr>
            </w:pPr>
          </w:p>
        </w:tc>
        <w:tc>
          <w:tcPr>
            <w:tcW w:w="3590" w:type="dxa"/>
          </w:tcPr>
          <w:p w14:paraId="36DD59A1" w14:textId="77777777" w:rsidR="006C4239" w:rsidRPr="006A1E11" w:rsidRDefault="006C4239" w:rsidP="006A1E11">
            <w:pPr>
              <w:widowControl w:val="0"/>
              <w:autoSpaceDE w:val="0"/>
              <w:autoSpaceDN w:val="0"/>
              <w:ind w:left="360"/>
              <w:jc w:val="both"/>
              <w:rPr>
                <w:rFonts w:eastAsia="Arial"/>
              </w:rPr>
            </w:pPr>
          </w:p>
        </w:tc>
        <w:tc>
          <w:tcPr>
            <w:tcW w:w="4267" w:type="dxa"/>
          </w:tcPr>
          <w:p w14:paraId="32C6C844" w14:textId="77777777" w:rsidR="006C4239" w:rsidRPr="006A1E11" w:rsidRDefault="006C4239" w:rsidP="006A1E11">
            <w:pPr>
              <w:widowControl w:val="0"/>
              <w:autoSpaceDE w:val="0"/>
              <w:autoSpaceDN w:val="0"/>
              <w:ind w:left="360"/>
              <w:jc w:val="both"/>
              <w:rPr>
                <w:rFonts w:eastAsia="Arial"/>
              </w:rPr>
            </w:pPr>
          </w:p>
        </w:tc>
      </w:tr>
      <w:tr w:rsidR="006C4239" w:rsidRPr="00D51AE5" w14:paraId="78E458AD" w14:textId="32DFF5C0" w:rsidTr="007639A7">
        <w:tc>
          <w:tcPr>
            <w:tcW w:w="6044" w:type="dxa"/>
          </w:tcPr>
          <w:p w14:paraId="293BDEF0" w14:textId="7E237DA5" w:rsidR="006C4239" w:rsidRPr="00D51AE5" w:rsidRDefault="006C4239" w:rsidP="006C4239">
            <w:pPr>
              <w:spacing w:line="276" w:lineRule="auto"/>
              <w:jc w:val="both"/>
              <w:rPr>
                <w:rFonts w:ascii="Arial" w:hAnsi="Arial" w:cs="Arial"/>
                <w:lang w:val="en-US"/>
              </w:rPr>
            </w:pPr>
            <w:r w:rsidRPr="00D51AE5">
              <w:rPr>
                <w:rFonts w:ascii="Arial" w:hAnsi="Arial" w:cs="Arial"/>
                <w:lang w:val="en-US"/>
              </w:rPr>
              <w:t>The guidelines and procedures, including the qualification criteria per scoring item, of every OCSP shall be determined at the beginning of OCSP round and will be covered by a Department Circular.</w:t>
            </w:r>
          </w:p>
        </w:tc>
        <w:tc>
          <w:tcPr>
            <w:tcW w:w="3590" w:type="dxa"/>
          </w:tcPr>
          <w:p w14:paraId="3E22CBE9" w14:textId="77777777" w:rsidR="006C4239" w:rsidRPr="006A1E11" w:rsidRDefault="006C4239" w:rsidP="006A1E11">
            <w:pPr>
              <w:ind w:left="360"/>
              <w:jc w:val="both"/>
            </w:pPr>
          </w:p>
        </w:tc>
        <w:tc>
          <w:tcPr>
            <w:tcW w:w="4267" w:type="dxa"/>
          </w:tcPr>
          <w:p w14:paraId="54E39533" w14:textId="77777777" w:rsidR="006C4239" w:rsidRPr="006A1E11" w:rsidRDefault="006C4239" w:rsidP="006A1E11">
            <w:pPr>
              <w:ind w:left="360"/>
              <w:jc w:val="both"/>
            </w:pPr>
          </w:p>
        </w:tc>
      </w:tr>
      <w:tr w:rsidR="006C4239" w:rsidRPr="00D51AE5" w14:paraId="3CF1DDBB" w14:textId="785C467A" w:rsidTr="007639A7">
        <w:tc>
          <w:tcPr>
            <w:tcW w:w="6044" w:type="dxa"/>
          </w:tcPr>
          <w:p w14:paraId="66AE048F" w14:textId="77777777" w:rsidR="006C4239" w:rsidRPr="00D51AE5" w:rsidRDefault="006C4239" w:rsidP="006C4239">
            <w:pPr>
              <w:pStyle w:val="ListParagraph"/>
              <w:numPr>
                <w:ilvl w:val="2"/>
                <w:numId w:val="38"/>
              </w:numPr>
              <w:ind w:left="1985" w:hanging="567"/>
              <w:jc w:val="both"/>
            </w:pPr>
            <w:r w:rsidRPr="00D51AE5">
              <w:t xml:space="preserve">The highest ranked </w:t>
            </w:r>
            <w:r w:rsidRPr="00D51AE5">
              <w:rPr>
                <w:iCs/>
              </w:rPr>
              <w:t>OESC</w:t>
            </w:r>
            <w:r w:rsidRPr="00D51AE5">
              <w:t xml:space="preserve"> Application that meets the legal, technical, and financial requirements shall be selected.</w:t>
            </w:r>
          </w:p>
        </w:tc>
        <w:tc>
          <w:tcPr>
            <w:tcW w:w="3590" w:type="dxa"/>
          </w:tcPr>
          <w:p w14:paraId="7ED7BA6D" w14:textId="77777777" w:rsidR="006C4239" w:rsidRPr="006A1E11" w:rsidRDefault="006C4239" w:rsidP="006A1E11">
            <w:pPr>
              <w:ind w:left="1980"/>
              <w:jc w:val="both"/>
            </w:pPr>
          </w:p>
        </w:tc>
        <w:tc>
          <w:tcPr>
            <w:tcW w:w="4267" w:type="dxa"/>
          </w:tcPr>
          <w:p w14:paraId="0708BA1F" w14:textId="77777777" w:rsidR="006C4239" w:rsidRPr="006A1E11" w:rsidRDefault="006C4239" w:rsidP="006A1E11">
            <w:pPr>
              <w:ind w:left="1980"/>
              <w:jc w:val="both"/>
            </w:pPr>
          </w:p>
        </w:tc>
      </w:tr>
      <w:tr w:rsidR="006C4239" w:rsidRPr="00D51AE5" w14:paraId="2D19FEC5" w14:textId="72415B99" w:rsidTr="007639A7">
        <w:tc>
          <w:tcPr>
            <w:tcW w:w="6044" w:type="dxa"/>
          </w:tcPr>
          <w:p w14:paraId="7723A265" w14:textId="77777777" w:rsidR="006C4239" w:rsidRPr="00D51AE5" w:rsidRDefault="006C4239" w:rsidP="006C4239">
            <w:pPr>
              <w:pStyle w:val="ListParagraph"/>
              <w:numPr>
                <w:ilvl w:val="2"/>
                <w:numId w:val="38"/>
              </w:numPr>
              <w:ind w:left="1985" w:hanging="567"/>
              <w:jc w:val="both"/>
            </w:pPr>
            <w:r w:rsidRPr="00D51AE5">
              <w:t xml:space="preserve">After a complete review and evaluation of the legal, technical and financial qualifications of the </w:t>
            </w:r>
            <w:r w:rsidRPr="00D51AE5">
              <w:rPr>
                <w:iCs/>
              </w:rPr>
              <w:t>OESC</w:t>
            </w:r>
            <w:r w:rsidRPr="00D51AE5">
              <w:t xml:space="preserve"> Applications, the REC Chairperson, shall transmit to the DOE Secretary a written endorsement of the selected </w:t>
            </w:r>
            <w:r w:rsidRPr="00D51AE5">
              <w:rPr>
                <w:iCs/>
              </w:rPr>
              <w:t>OESC</w:t>
            </w:r>
            <w:r w:rsidRPr="00D51AE5">
              <w:t xml:space="preserve"> Application.</w:t>
            </w:r>
          </w:p>
        </w:tc>
        <w:tc>
          <w:tcPr>
            <w:tcW w:w="3590" w:type="dxa"/>
          </w:tcPr>
          <w:p w14:paraId="109D8CF6" w14:textId="77777777" w:rsidR="006C4239" w:rsidRPr="006A1E11" w:rsidRDefault="006C4239" w:rsidP="006A1E11">
            <w:pPr>
              <w:ind w:left="1980"/>
              <w:jc w:val="both"/>
            </w:pPr>
          </w:p>
        </w:tc>
        <w:tc>
          <w:tcPr>
            <w:tcW w:w="4267" w:type="dxa"/>
          </w:tcPr>
          <w:p w14:paraId="5063E7CE" w14:textId="77777777" w:rsidR="006C4239" w:rsidRPr="006A1E11" w:rsidRDefault="006C4239" w:rsidP="006A1E11">
            <w:pPr>
              <w:ind w:left="1980"/>
              <w:jc w:val="both"/>
            </w:pPr>
          </w:p>
        </w:tc>
      </w:tr>
      <w:tr w:rsidR="006C4239" w:rsidRPr="00D51AE5" w14:paraId="1420F0E2" w14:textId="44958E94" w:rsidTr="007639A7">
        <w:tc>
          <w:tcPr>
            <w:tcW w:w="6044" w:type="dxa"/>
          </w:tcPr>
          <w:p w14:paraId="0474E925" w14:textId="77777777" w:rsidR="006C4239" w:rsidRPr="00D51AE5" w:rsidRDefault="006C4239" w:rsidP="006C4239">
            <w:pPr>
              <w:pStyle w:val="ListParagraph"/>
              <w:numPr>
                <w:ilvl w:val="2"/>
                <w:numId w:val="38"/>
              </w:numPr>
              <w:ind w:left="1985" w:hanging="567"/>
              <w:jc w:val="both"/>
            </w:pPr>
            <w:r w:rsidRPr="00D51AE5">
              <w:t xml:space="preserve">The DOE Secretary shall act </w:t>
            </w:r>
            <w:r w:rsidRPr="00D51AE5">
              <w:rPr>
                <w:rFonts w:eastAsia="Arial"/>
              </w:rPr>
              <w:t xml:space="preserve">on the </w:t>
            </w:r>
            <w:r w:rsidRPr="00D51AE5">
              <w:rPr>
                <w:iCs/>
              </w:rPr>
              <w:t>OESC</w:t>
            </w:r>
            <w:r w:rsidRPr="00D51AE5">
              <w:rPr>
                <w:rFonts w:eastAsia="Arial"/>
              </w:rPr>
              <w:t xml:space="preserve"> Application in accordance with Section 7 of this Chapter after the concurrence of ITMS, Financial Services (FS), REMB and Legal Services (LS) on the endorsement</w:t>
            </w:r>
            <w:r w:rsidRPr="00D51AE5">
              <w:t>.</w:t>
            </w:r>
          </w:p>
        </w:tc>
        <w:tc>
          <w:tcPr>
            <w:tcW w:w="3590" w:type="dxa"/>
          </w:tcPr>
          <w:p w14:paraId="594C800D" w14:textId="77777777" w:rsidR="006C4239" w:rsidRPr="006A1E11" w:rsidRDefault="006C4239" w:rsidP="006A1E11">
            <w:pPr>
              <w:ind w:left="1980"/>
              <w:jc w:val="both"/>
            </w:pPr>
          </w:p>
        </w:tc>
        <w:tc>
          <w:tcPr>
            <w:tcW w:w="4267" w:type="dxa"/>
          </w:tcPr>
          <w:p w14:paraId="388BAC71" w14:textId="77777777" w:rsidR="006C4239" w:rsidRPr="006A1E11" w:rsidRDefault="006C4239" w:rsidP="006A1E11">
            <w:pPr>
              <w:ind w:left="1980"/>
              <w:jc w:val="both"/>
            </w:pPr>
          </w:p>
        </w:tc>
      </w:tr>
      <w:tr w:rsidR="006C4239" w:rsidRPr="00D51AE5" w14:paraId="40737964" w14:textId="41A6AEE5" w:rsidTr="007639A7">
        <w:tc>
          <w:tcPr>
            <w:tcW w:w="6044" w:type="dxa"/>
          </w:tcPr>
          <w:p w14:paraId="06247A46" w14:textId="6F3A554E" w:rsidR="006C4239" w:rsidRPr="00D51AE5" w:rsidRDefault="006C4239" w:rsidP="006C4239">
            <w:pPr>
              <w:pStyle w:val="ListParagraph"/>
              <w:numPr>
                <w:ilvl w:val="1"/>
                <w:numId w:val="38"/>
              </w:numPr>
              <w:ind w:left="709" w:hanging="355"/>
              <w:jc w:val="both"/>
            </w:pPr>
            <w:r w:rsidRPr="00D51AE5">
              <w:t>A</w:t>
            </w:r>
            <w:r w:rsidR="000060C4">
              <w:t xml:space="preserve">n </w:t>
            </w:r>
            <w:r w:rsidRPr="00D51AE5">
              <w:t>OCSP, with respect to any or all PDAs included therein, as applicable, shall be declared a failure when any of the following circumstances exists:</w:t>
            </w:r>
          </w:p>
        </w:tc>
        <w:tc>
          <w:tcPr>
            <w:tcW w:w="3590" w:type="dxa"/>
          </w:tcPr>
          <w:p w14:paraId="2520CA27" w14:textId="77777777" w:rsidR="006C4239" w:rsidRPr="006A1E11" w:rsidRDefault="006C4239" w:rsidP="006A1E11">
            <w:pPr>
              <w:ind w:left="1080"/>
              <w:jc w:val="both"/>
            </w:pPr>
          </w:p>
        </w:tc>
        <w:tc>
          <w:tcPr>
            <w:tcW w:w="4267" w:type="dxa"/>
          </w:tcPr>
          <w:p w14:paraId="329066E0" w14:textId="77777777" w:rsidR="006C4239" w:rsidRPr="006A1E11" w:rsidRDefault="006C4239" w:rsidP="006A1E11">
            <w:pPr>
              <w:ind w:left="1080"/>
              <w:jc w:val="both"/>
            </w:pPr>
          </w:p>
        </w:tc>
      </w:tr>
      <w:tr w:rsidR="006C4239" w:rsidRPr="00D51AE5" w14:paraId="7F82AE3D" w14:textId="26C6B4F5" w:rsidTr="007639A7">
        <w:tc>
          <w:tcPr>
            <w:tcW w:w="6044" w:type="dxa"/>
          </w:tcPr>
          <w:p w14:paraId="79104060" w14:textId="77777777" w:rsidR="006C4239" w:rsidRPr="00D51AE5" w:rsidRDefault="006C4239" w:rsidP="006C4239">
            <w:pPr>
              <w:pStyle w:val="ListParagraph"/>
              <w:numPr>
                <w:ilvl w:val="2"/>
                <w:numId w:val="38"/>
              </w:numPr>
              <w:ind w:left="1985" w:hanging="567"/>
              <w:jc w:val="both"/>
            </w:pPr>
            <w:r w:rsidRPr="00D51AE5">
              <w:t xml:space="preserve">No </w:t>
            </w:r>
            <w:r w:rsidRPr="00D51AE5">
              <w:rPr>
                <w:iCs/>
              </w:rPr>
              <w:t>OESC</w:t>
            </w:r>
            <w:r w:rsidRPr="00D51AE5">
              <w:t xml:space="preserve"> Application was received by the DOE;</w:t>
            </w:r>
          </w:p>
        </w:tc>
        <w:tc>
          <w:tcPr>
            <w:tcW w:w="3590" w:type="dxa"/>
          </w:tcPr>
          <w:p w14:paraId="2E8D246E" w14:textId="77777777" w:rsidR="006C4239" w:rsidRPr="006A1E11" w:rsidRDefault="006C4239" w:rsidP="006A1E11">
            <w:pPr>
              <w:ind w:left="1980"/>
              <w:jc w:val="both"/>
            </w:pPr>
          </w:p>
        </w:tc>
        <w:tc>
          <w:tcPr>
            <w:tcW w:w="4267" w:type="dxa"/>
          </w:tcPr>
          <w:p w14:paraId="3018DEE4" w14:textId="77777777" w:rsidR="006C4239" w:rsidRPr="006A1E11" w:rsidRDefault="006C4239" w:rsidP="006A1E11">
            <w:pPr>
              <w:ind w:left="1980"/>
              <w:jc w:val="both"/>
            </w:pPr>
          </w:p>
        </w:tc>
      </w:tr>
      <w:tr w:rsidR="006C4239" w:rsidRPr="00D51AE5" w14:paraId="24B3FD5D" w14:textId="6DA2F868" w:rsidTr="007639A7">
        <w:tc>
          <w:tcPr>
            <w:tcW w:w="6044" w:type="dxa"/>
          </w:tcPr>
          <w:p w14:paraId="536354AB" w14:textId="77777777" w:rsidR="006C4239" w:rsidRPr="00D51AE5" w:rsidRDefault="006C4239" w:rsidP="006C4239">
            <w:pPr>
              <w:pStyle w:val="ListParagraph"/>
              <w:numPr>
                <w:ilvl w:val="2"/>
                <w:numId w:val="38"/>
              </w:numPr>
              <w:ind w:left="1985" w:hanging="567"/>
              <w:jc w:val="both"/>
            </w:pPr>
            <w:r w:rsidRPr="00D51AE5">
              <w:t xml:space="preserve">No </w:t>
            </w:r>
            <w:r w:rsidRPr="00D51AE5">
              <w:rPr>
                <w:iCs/>
              </w:rPr>
              <w:t>OESC</w:t>
            </w:r>
            <w:r w:rsidRPr="00D51AE5">
              <w:t xml:space="preserve"> Application passed the legal requirements; or</w:t>
            </w:r>
          </w:p>
        </w:tc>
        <w:tc>
          <w:tcPr>
            <w:tcW w:w="3590" w:type="dxa"/>
          </w:tcPr>
          <w:p w14:paraId="271611B1" w14:textId="77777777" w:rsidR="006C4239" w:rsidRPr="006A1E11" w:rsidRDefault="006C4239" w:rsidP="006A1E11">
            <w:pPr>
              <w:ind w:left="1980"/>
              <w:jc w:val="both"/>
            </w:pPr>
          </w:p>
        </w:tc>
        <w:tc>
          <w:tcPr>
            <w:tcW w:w="4267" w:type="dxa"/>
          </w:tcPr>
          <w:p w14:paraId="20209BEE" w14:textId="77777777" w:rsidR="006C4239" w:rsidRPr="006A1E11" w:rsidRDefault="006C4239" w:rsidP="006A1E11">
            <w:pPr>
              <w:ind w:left="1980"/>
              <w:jc w:val="both"/>
            </w:pPr>
          </w:p>
        </w:tc>
      </w:tr>
      <w:tr w:rsidR="006C4239" w:rsidRPr="00D51AE5" w14:paraId="5FFC41E5" w14:textId="7726D46F" w:rsidTr="007639A7">
        <w:tc>
          <w:tcPr>
            <w:tcW w:w="6044" w:type="dxa"/>
          </w:tcPr>
          <w:p w14:paraId="280B9913" w14:textId="77777777" w:rsidR="006C4239" w:rsidRPr="00D51AE5" w:rsidRDefault="006C4239" w:rsidP="006C4239">
            <w:pPr>
              <w:pStyle w:val="ListParagraph"/>
              <w:numPr>
                <w:ilvl w:val="2"/>
                <w:numId w:val="38"/>
              </w:numPr>
              <w:ind w:left="1985" w:hanging="567"/>
              <w:jc w:val="both"/>
            </w:pPr>
            <w:r w:rsidRPr="00D51AE5">
              <w:t xml:space="preserve">When one or more </w:t>
            </w:r>
            <w:r w:rsidRPr="00D51AE5">
              <w:rPr>
                <w:iCs/>
              </w:rPr>
              <w:t>OESC</w:t>
            </w:r>
            <w:r w:rsidRPr="00D51AE5">
              <w:t xml:space="preserve"> Applications passed the legal requirements but after the evaluation of technical and financial proposals, none of such </w:t>
            </w:r>
            <w:r w:rsidRPr="00D51AE5">
              <w:rPr>
                <w:iCs/>
              </w:rPr>
              <w:t>OESC</w:t>
            </w:r>
            <w:r w:rsidRPr="00D51AE5">
              <w:t xml:space="preserve"> Applications were able to meet either the technical or financial requirements.</w:t>
            </w:r>
          </w:p>
        </w:tc>
        <w:tc>
          <w:tcPr>
            <w:tcW w:w="3590" w:type="dxa"/>
          </w:tcPr>
          <w:p w14:paraId="01D9D615" w14:textId="77777777" w:rsidR="006C4239" w:rsidRPr="006A1E11" w:rsidRDefault="006C4239" w:rsidP="006A1E11">
            <w:pPr>
              <w:ind w:left="1980"/>
              <w:jc w:val="both"/>
            </w:pPr>
          </w:p>
        </w:tc>
        <w:tc>
          <w:tcPr>
            <w:tcW w:w="4267" w:type="dxa"/>
          </w:tcPr>
          <w:p w14:paraId="27B09DE9" w14:textId="77777777" w:rsidR="006C4239" w:rsidRPr="006A1E11" w:rsidRDefault="006C4239" w:rsidP="006A1E11">
            <w:pPr>
              <w:ind w:left="1980"/>
              <w:jc w:val="both"/>
            </w:pPr>
          </w:p>
        </w:tc>
      </w:tr>
      <w:tr w:rsidR="006C4239" w:rsidRPr="00D51AE5" w14:paraId="1FE993E8" w14:textId="4946D153" w:rsidTr="007639A7">
        <w:tc>
          <w:tcPr>
            <w:tcW w:w="6044" w:type="dxa"/>
          </w:tcPr>
          <w:p w14:paraId="5680A292" w14:textId="696401B1" w:rsidR="006C4239" w:rsidRPr="00D51AE5" w:rsidRDefault="006C4239" w:rsidP="006C4239">
            <w:pPr>
              <w:spacing w:line="276" w:lineRule="auto"/>
              <w:contextualSpacing/>
              <w:jc w:val="both"/>
              <w:rPr>
                <w:rFonts w:ascii="Arial" w:hAnsi="Arial" w:cs="Arial"/>
                <w:lang w:val="en-US"/>
              </w:rPr>
            </w:pPr>
            <w:r w:rsidRPr="00D51AE5">
              <w:rPr>
                <w:rFonts w:ascii="Arial" w:hAnsi="Arial" w:cs="Arial"/>
                <w:lang w:val="en-US"/>
              </w:rPr>
              <w:t xml:space="preserve">In any of the foregoing cases, the PDA shall be opened for Direct Applications. To initiate the change of mode of awarding </w:t>
            </w:r>
            <w:r w:rsidRPr="00D51AE5">
              <w:rPr>
                <w:rFonts w:ascii="Arial" w:hAnsi="Arial" w:cs="Arial"/>
                <w:iCs/>
                <w:lang w:val="en-US"/>
              </w:rPr>
              <w:t>OESC</w:t>
            </w:r>
            <w:r w:rsidRPr="00D51AE5">
              <w:rPr>
                <w:rFonts w:ascii="Arial" w:hAnsi="Arial" w:cs="Arial"/>
                <w:lang w:val="en-US"/>
              </w:rPr>
              <w:t xml:space="preserve"> from OCSP to Direct Application for the relevant areas, the DOE shall include in the announcement of the result of the OCSP the area/s which shall be open for Direct Application, indicating thereat when the new application process shall commence.</w:t>
            </w:r>
          </w:p>
        </w:tc>
        <w:tc>
          <w:tcPr>
            <w:tcW w:w="3590" w:type="dxa"/>
          </w:tcPr>
          <w:p w14:paraId="68AA5835" w14:textId="77777777" w:rsidR="006C4239" w:rsidRPr="00D51AE5" w:rsidRDefault="006C4239" w:rsidP="006C4239">
            <w:pPr>
              <w:spacing w:line="276" w:lineRule="auto"/>
              <w:contextualSpacing/>
              <w:jc w:val="both"/>
              <w:rPr>
                <w:rFonts w:ascii="Arial" w:hAnsi="Arial" w:cs="Arial"/>
                <w:lang w:val="en-US"/>
              </w:rPr>
            </w:pPr>
          </w:p>
        </w:tc>
        <w:tc>
          <w:tcPr>
            <w:tcW w:w="4267" w:type="dxa"/>
          </w:tcPr>
          <w:p w14:paraId="3CD92C94" w14:textId="77777777" w:rsidR="006C4239" w:rsidRPr="00D51AE5" w:rsidRDefault="006C4239" w:rsidP="006C4239">
            <w:pPr>
              <w:spacing w:line="276" w:lineRule="auto"/>
              <w:contextualSpacing/>
              <w:jc w:val="both"/>
              <w:rPr>
                <w:rFonts w:ascii="Arial" w:hAnsi="Arial" w:cs="Arial"/>
                <w:lang w:val="en-US"/>
              </w:rPr>
            </w:pPr>
          </w:p>
        </w:tc>
      </w:tr>
      <w:tr w:rsidR="006C4239" w:rsidRPr="00D51AE5" w14:paraId="77627197" w14:textId="5878DCAB" w:rsidTr="007639A7">
        <w:tc>
          <w:tcPr>
            <w:tcW w:w="6044" w:type="dxa"/>
          </w:tcPr>
          <w:p w14:paraId="089FD95D" w14:textId="77777777" w:rsidR="006C4239" w:rsidRPr="00D51AE5" w:rsidRDefault="006C4239" w:rsidP="006C4239">
            <w:pPr>
              <w:spacing w:line="276" w:lineRule="auto"/>
              <w:rPr>
                <w:rFonts w:ascii="Arial" w:hAnsi="Arial" w:cs="Arial"/>
                <w:lang w:val="en-US"/>
              </w:rPr>
            </w:pPr>
            <w:r w:rsidRPr="00D51AE5">
              <w:rPr>
                <w:rFonts w:ascii="Arial" w:hAnsi="Arial" w:cs="Arial"/>
                <w:b/>
                <w:bCs/>
                <w:lang w:val="en-US"/>
              </w:rPr>
              <w:t>Section 5. Procedure for Awarding Ocean Energy Service Contract under Direct Application.</w:t>
            </w:r>
          </w:p>
        </w:tc>
        <w:tc>
          <w:tcPr>
            <w:tcW w:w="3590" w:type="dxa"/>
          </w:tcPr>
          <w:p w14:paraId="68ADF3A7" w14:textId="77777777" w:rsidR="006C4239" w:rsidRPr="00D51AE5" w:rsidRDefault="006C4239" w:rsidP="006C4239">
            <w:pPr>
              <w:spacing w:line="276" w:lineRule="auto"/>
              <w:rPr>
                <w:rFonts w:ascii="Arial" w:hAnsi="Arial" w:cs="Arial"/>
                <w:b/>
                <w:bCs/>
                <w:lang w:val="en-US"/>
              </w:rPr>
            </w:pPr>
          </w:p>
        </w:tc>
        <w:tc>
          <w:tcPr>
            <w:tcW w:w="4267" w:type="dxa"/>
          </w:tcPr>
          <w:p w14:paraId="2FB66A15" w14:textId="77777777" w:rsidR="006C4239" w:rsidRPr="00D51AE5" w:rsidRDefault="006C4239" w:rsidP="006C4239">
            <w:pPr>
              <w:spacing w:line="276" w:lineRule="auto"/>
              <w:rPr>
                <w:rFonts w:ascii="Arial" w:hAnsi="Arial" w:cs="Arial"/>
                <w:b/>
                <w:bCs/>
                <w:lang w:val="en-US"/>
              </w:rPr>
            </w:pPr>
          </w:p>
        </w:tc>
      </w:tr>
      <w:tr w:rsidR="006C4239" w:rsidRPr="00D51AE5" w14:paraId="4856FC72" w14:textId="0EBB9B5C" w:rsidTr="007639A7">
        <w:tc>
          <w:tcPr>
            <w:tcW w:w="6044" w:type="dxa"/>
          </w:tcPr>
          <w:p w14:paraId="36C1EABC" w14:textId="125943AB" w:rsidR="006C4239" w:rsidRPr="00D51AE5" w:rsidRDefault="006C4239" w:rsidP="006C4239">
            <w:pPr>
              <w:pStyle w:val="ListParagraph"/>
              <w:numPr>
                <w:ilvl w:val="1"/>
                <w:numId w:val="39"/>
              </w:numPr>
              <w:ind w:left="709"/>
              <w:jc w:val="both"/>
            </w:pPr>
            <w:r w:rsidRPr="00D51AE5">
              <w:rPr>
                <w:b/>
                <w:bCs/>
              </w:rPr>
              <w:t xml:space="preserve">Coverage. </w:t>
            </w:r>
            <w:r w:rsidRPr="00D51AE5">
              <w:t xml:space="preserve">Direct Application shall be observed in processing </w:t>
            </w:r>
            <w:r w:rsidRPr="00D51AE5">
              <w:rPr>
                <w:iCs/>
              </w:rPr>
              <w:t>OESC</w:t>
            </w:r>
            <w:r w:rsidRPr="00D51AE5">
              <w:t xml:space="preserve"> Applications for: (a) ocean energy resources located in PDAs which the DOE shall declare as available under this mode pursuant to Section 4.4 of this Chapter, and (b) ocean energy resources in areas other than those included in the PDAs, subject to the procedures provided herein.</w:t>
            </w:r>
          </w:p>
        </w:tc>
        <w:tc>
          <w:tcPr>
            <w:tcW w:w="3590" w:type="dxa"/>
          </w:tcPr>
          <w:p w14:paraId="41E6DE01" w14:textId="77777777" w:rsidR="006C4239" w:rsidRPr="006A1E11" w:rsidRDefault="006C4239" w:rsidP="006A1E11">
            <w:pPr>
              <w:ind w:left="1080"/>
              <w:jc w:val="both"/>
              <w:rPr>
                <w:b/>
                <w:bCs/>
              </w:rPr>
            </w:pPr>
          </w:p>
        </w:tc>
        <w:tc>
          <w:tcPr>
            <w:tcW w:w="4267" w:type="dxa"/>
          </w:tcPr>
          <w:p w14:paraId="4E43D317" w14:textId="77777777" w:rsidR="006C4239" w:rsidRPr="006A1E11" w:rsidRDefault="006C4239" w:rsidP="006A1E11">
            <w:pPr>
              <w:ind w:left="1080"/>
              <w:jc w:val="both"/>
              <w:rPr>
                <w:b/>
                <w:bCs/>
              </w:rPr>
            </w:pPr>
          </w:p>
        </w:tc>
      </w:tr>
      <w:tr w:rsidR="006C4239" w:rsidRPr="00D51AE5" w14:paraId="0784CAB6" w14:textId="204CB9E5" w:rsidTr="007639A7">
        <w:tc>
          <w:tcPr>
            <w:tcW w:w="6044" w:type="dxa"/>
          </w:tcPr>
          <w:p w14:paraId="1493DCA8" w14:textId="77777777" w:rsidR="006C4239" w:rsidRPr="00D51AE5" w:rsidRDefault="006C4239" w:rsidP="006C4239">
            <w:pPr>
              <w:keepNext/>
              <w:keepLines/>
              <w:spacing w:line="276" w:lineRule="auto"/>
              <w:jc w:val="both"/>
              <w:outlineLvl w:val="2"/>
              <w:rPr>
                <w:rFonts w:ascii="Arial" w:eastAsiaTheme="majorEastAsia" w:hAnsi="Arial" w:cs="Arial"/>
                <w:b/>
                <w:bCs/>
                <w:i/>
                <w:iCs/>
                <w:spacing w:val="-2"/>
                <w:lang w:val="en-US"/>
              </w:rPr>
            </w:pPr>
            <w:r w:rsidRPr="00D51AE5">
              <w:rPr>
                <w:rFonts w:ascii="Arial" w:eastAsiaTheme="majorEastAsia" w:hAnsi="Arial" w:cs="Arial"/>
                <w:b/>
                <w:bCs/>
                <w:i/>
                <w:iCs/>
                <w:lang w:val="en-US"/>
              </w:rPr>
              <w:t>Part</w:t>
            </w:r>
            <w:r w:rsidRPr="00D51AE5">
              <w:rPr>
                <w:rFonts w:ascii="Arial" w:eastAsiaTheme="majorEastAsia" w:hAnsi="Arial" w:cs="Arial"/>
                <w:b/>
                <w:bCs/>
                <w:i/>
                <w:iCs/>
                <w:spacing w:val="-3"/>
                <w:lang w:val="en-US"/>
              </w:rPr>
              <w:t xml:space="preserve"> </w:t>
            </w:r>
            <w:r w:rsidRPr="00D51AE5">
              <w:rPr>
                <w:rFonts w:ascii="Arial" w:eastAsiaTheme="majorEastAsia" w:hAnsi="Arial" w:cs="Arial"/>
                <w:b/>
                <w:bCs/>
                <w:i/>
                <w:iCs/>
                <w:lang w:val="en-US"/>
              </w:rPr>
              <w:t>1.</w:t>
            </w:r>
            <w:r w:rsidRPr="00D51AE5">
              <w:rPr>
                <w:rFonts w:ascii="Arial" w:eastAsiaTheme="majorEastAsia" w:hAnsi="Arial" w:cs="Arial"/>
                <w:b/>
                <w:bCs/>
                <w:i/>
                <w:iCs/>
                <w:spacing w:val="-3"/>
                <w:lang w:val="en-US"/>
              </w:rPr>
              <w:t xml:space="preserve"> </w:t>
            </w:r>
            <w:r w:rsidRPr="00D51AE5">
              <w:rPr>
                <w:rFonts w:ascii="Arial" w:eastAsiaTheme="majorEastAsia" w:hAnsi="Arial" w:cs="Arial"/>
                <w:b/>
                <w:bCs/>
                <w:i/>
                <w:iCs/>
                <w:lang w:val="en-US"/>
              </w:rPr>
              <w:t>Pre-Application</w:t>
            </w:r>
            <w:r w:rsidRPr="00D51AE5">
              <w:rPr>
                <w:rFonts w:ascii="Arial" w:eastAsiaTheme="majorEastAsia" w:hAnsi="Arial" w:cs="Arial"/>
                <w:b/>
                <w:bCs/>
                <w:i/>
                <w:iCs/>
                <w:spacing w:val="-1"/>
                <w:lang w:val="en-US"/>
              </w:rPr>
              <w:t xml:space="preserve"> </w:t>
            </w:r>
            <w:r w:rsidRPr="00D51AE5">
              <w:rPr>
                <w:rFonts w:ascii="Arial" w:eastAsiaTheme="majorEastAsia" w:hAnsi="Arial" w:cs="Arial"/>
                <w:b/>
                <w:bCs/>
                <w:i/>
                <w:iCs/>
                <w:spacing w:val="-2"/>
                <w:lang w:val="en-US"/>
              </w:rPr>
              <w:t>Process</w:t>
            </w:r>
          </w:p>
        </w:tc>
        <w:tc>
          <w:tcPr>
            <w:tcW w:w="3590" w:type="dxa"/>
          </w:tcPr>
          <w:p w14:paraId="6B222940" w14:textId="77777777" w:rsidR="006C4239" w:rsidRPr="006A1E11" w:rsidRDefault="006C4239" w:rsidP="006A1E11">
            <w:pPr>
              <w:keepNext/>
              <w:keepLines/>
              <w:ind w:left="360"/>
              <w:jc w:val="both"/>
              <w:outlineLvl w:val="2"/>
              <w:rPr>
                <w:rFonts w:eastAsiaTheme="majorEastAsia"/>
                <w:b/>
                <w:bCs/>
                <w:i/>
                <w:iCs/>
              </w:rPr>
            </w:pPr>
          </w:p>
        </w:tc>
        <w:tc>
          <w:tcPr>
            <w:tcW w:w="4267" w:type="dxa"/>
          </w:tcPr>
          <w:p w14:paraId="3A843CAA" w14:textId="77777777" w:rsidR="006C4239" w:rsidRPr="006A1E11" w:rsidRDefault="006C4239" w:rsidP="006A1E11">
            <w:pPr>
              <w:keepNext/>
              <w:keepLines/>
              <w:ind w:left="360"/>
              <w:jc w:val="both"/>
              <w:outlineLvl w:val="2"/>
              <w:rPr>
                <w:rFonts w:eastAsiaTheme="majorEastAsia"/>
                <w:b/>
                <w:bCs/>
                <w:i/>
                <w:iCs/>
              </w:rPr>
            </w:pPr>
          </w:p>
        </w:tc>
      </w:tr>
      <w:tr w:rsidR="006C4239" w:rsidRPr="00D51AE5" w14:paraId="143361FA" w14:textId="7174DA00" w:rsidTr="007639A7">
        <w:tc>
          <w:tcPr>
            <w:tcW w:w="6044" w:type="dxa"/>
          </w:tcPr>
          <w:p w14:paraId="13894547" w14:textId="77777777" w:rsidR="006C4239" w:rsidRPr="00D51AE5" w:rsidRDefault="006C4239" w:rsidP="006C4239">
            <w:pPr>
              <w:pStyle w:val="ListParagraph"/>
              <w:numPr>
                <w:ilvl w:val="1"/>
                <w:numId w:val="39"/>
              </w:numPr>
              <w:ind w:left="709"/>
              <w:jc w:val="both"/>
            </w:pPr>
            <w:r w:rsidRPr="00D51AE5">
              <w:rPr>
                <w:b/>
                <w:bCs/>
              </w:rPr>
              <w:t xml:space="preserve">Registration in the EVOSS System. </w:t>
            </w:r>
            <w:r w:rsidRPr="00D51AE5">
              <w:t>If the interested participant has no EVOSS System account yet, it shall submit a request for registration in the EVOSS System with Hydropower and Ocean Energy Management Division (HOEMD).</w:t>
            </w:r>
          </w:p>
        </w:tc>
        <w:tc>
          <w:tcPr>
            <w:tcW w:w="3590" w:type="dxa"/>
          </w:tcPr>
          <w:p w14:paraId="622A3B3E" w14:textId="77777777" w:rsidR="006C4239" w:rsidRPr="006A1E11" w:rsidRDefault="006C4239" w:rsidP="006A1E11">
            <w:pPr>
              <w:ind w:left="1080"/>
              <w:jc w:val="both"/>
              <w:rPr>
                <w:b/>
                <w:bCs/>
              </w:rPr>
            </w:pPr>
          </w:p>
        </w:tc>
        <w:tc>
          <w:tcPr>
            <w:tcW w:w="4267" w:type="dxa"/>
          </w:tcPr>
          <w:p w14:paraId="2ADC3307" w14:textId="77777777" w:rsidR="006C4239" w:rsidRPr="006A1E11" w:rsidRDefault="006C4239" w:rsidP="006A1E11">
            <w:pPr>
              <w:ind w:left="1080"/>
              <w:jc w:val="both"/>
              <w:rPr>
                <w:b/>
                <w:bCs/>
              </w:rPr>
            </w:pPr>
          </w:p>
        </w:tc>
      </w:tr>
      <w:tr w:rsidR="006C4239" w:rsidRPr="00D51AE5" w14:paraId="43998709" w14:textId="6F544622" w:rsidTr="007639A7">
        <w:tc>
          <w:tcPr>
            <w:tcW w:w="6044" w:type="dxa"/>
          </w:tcPr>
          <w:p w14:paraId="7C78DBE9" w14:textId="77777777" w:rsidR="006C4239" w:rsidRPr="00D51AE5" w:rsidRDefault="006C4239" w:rsidP="006C4239">
            <w:pPr>
              <w:pStyle w:val="ListParagraph"/>
              <w:numPr>
                <w:ilvl w:val="1"/>
                <w:numId w:val="39"/>
              </w:numPr>
              <w:ind w:left="709"/>
              <w:jc w:val="both"/>
            </w:pPr>
            <w:r w:rsidRPr="00D51AE5">
              <w:rPr>
                <w:b/>
                <w:bCs/>
              </w:rPr>
              <w:t xml:space="preserve">Submission of Letter of Intent. </w:t>
            </w:r>
            <w:r w:rsidRPr="00D51AE5">
              <w:t xml:space="preserve">All interested participants shall submit through the EVOSS System an LOI to develop a certain area, in accordance with the mapping requirements (Annex J). The LOI shall be addressed to the REMB Director and shall indicate whether the interested participant will avail of the Certificate of Authority referred to in Sections 6 and 7.1 of this Chapter. The submission of the LOI shall not be considered as a filing of an </w:t>
            </w:r>
            <w:r w:rsidRPr="00D51AE5">
              <w:rPr>
                <w:iCs/>
              </w:rPr>
              <w:t>OESC</w:t>
            </w:r>
            <w:r w:rsidRPr="00D51AE5">
              <w:t xml:space="preserve"> Application and shall not commence the application process.</w:t>
            </w:r>
          </w:p>
        </w:tc>
        <w:tc>
          <w:tcPr>
            <w:tcW w:w="3590" w:type="dxa"/>
          </w:tcPr>
          <w:p w14:paraId="57EBB70B" w14:textId="77777777" w:rsidR="006C4239" w:rsidRPr="006A1E11" w:rsidRDefault="006C4239" w:rsidP="006A1E11">
            <w:pPr>
              <w:ind w:left="1080"/>
              <w:jc w:val="both"/>
              <w:rPr>
                <w:b/>
                <w:bCs/>
              </w:rPr>
            </w:pPr>
          </w:p>
        </w:tc>
        <w:tc>
          <w:tcPr>
            <w:tcW w:w="4267" w:type="dxa"/>
          </w:tcPr>
          <w:p w14:paraId="0F1370C1" w14:textId="77777777" w:rsidR="006C4239" w:rsidRPr="006A1E11" w:rsidRDefault="006C4239" w:rsidP="006A1E11">
            <w:pPr>
              <w:ind w:left="1080"/>
              <w:jc w:val="both"/>
              <w:rPr>
                <w:b/>
                <w:bCs/>
              </w:rPr>
            </w:pPr>
          </w:p>
        </w:tc>
      </w:tr>
      <w:tr w:rsidR="006C4239" w:rsidRPr="00D51AE5" w14:paraId="222D38BF" w14:textId="5C80272B" w:rsidTr="007639A7">
        <w:tc>
          <w:tcPr>
            <w:tcW w:w="6044" w:type="dxa"/>
          </w:tcPr>
          <w:p w14:paraId="5BF6B290" w14:textId="77777777" w:rsidR="006C4239" w:rsidRPr="00D51AE5" w:rsidRDefault="006C4239" w:rsidP="006C4239">
            <w:pPr>
              <w:pStyle w:val="ListParagraph"/>
              <w:numPr>
                <w:ilvl w:val="1"/>
                <w:numId w:val="39"/>
              </w:numPr>
              <w:ind w:left="709"/>
              <w:jc w:val="both"/>
            </w:pPr>
            <w:r w:rsidRPr="00D51AE5">
              <w:rPr>
                <w:b/>
                <w:bCs/>
              </w:rPr>
              <w:t xml:space="preserve">Orientation of Interested Participant. </w:t>
            </w:r>
            <w:r w:rsidRPr="00D51AE5">
              <w:t xml:space="preserve">The orientation is intended to inform interested participants about the </w:t>
            </w:r>
            <w:r w:rsidRPr="00D51AE5">
              <w:rPr>
                <w:iCs/>
              </w:rPr>
              <w:t>OESC</w:t>
            </w:r>
            <w:r w:rsidRPr="00D51AE5">
              <w:t xml:space="preserve"> Application requirements, and to guide them through the process for evaluation thereof, awarding of </w:t>
            </w:r>
            <w:r w:rsidRPr="00D51AE5">
              <w:rPr>
                <w:iCs/>
              </w:rPr>
              <w:t>OESC</w:t>
            </w:r>
            <w:r w:rsidRPr="00D51AE5">
              <w:t xml:space="preserve"> and the registration of an ocean energy project.</w:t>
            </w:r>
          </w:p>
        </w:tc>
        <w:tc>
          <w:tcPr>
            <w:tcW w:w="3590" w:type="dxa"/>
          </w:tcPr>
          <w:p w14:paraId="0939CB0A" w14:textId="77777777" w:rsidR="006C4239" w:rsidRPr="006A1E11" w:rsidRDefault="006C4239" w:rsidP="006A1E11">
            <w:pPr>
              <w:ind w:left="1080"/>
              <w:jc w:val="both"/>
              <w:rPr>
                <w:b/>
                <w:bCs/>
              </w:rPr>
            </w:pPr>
          </w:p>
        </w:tc>
        <w:tc>
          <w:tcPr>
            <w:tcW w:w="4267" w:type="dxa"/>
          </w:tcPr>
          <w:p w14:paraId="3B6B8260" w14:textId="77777777" w:rsidR="006C4239" w:rsidRPr="006A1E11" w:rsidRDefault="006C4239" w:rsidP="006A1E11">
            <w:pPr>
              <w:ind w:left="1080"/>
              <w:jc w:val="both"/>
              <w:rPr>
                <w:b/>
                <w:bCs/>
              </w:rPr>
            </w:pPr>
          </w:p>
        </w:tc>
      </w:tr>
      <w:tr w:rsidR="006C4239" w:rsidRPr="00D51AE5" w14:paraId="2F8AAD0D" w14:textId="4244340A" w:rsidTr="007639A7">
        <w:tc>
          <w:tcPr>
            <w:tcW w:w="6044" w:type="dxa"/>
          </w:tcPr>
          <w:p w14:paraId="12BE7491" w14:textId="77777777" w:rsidR="006C4239" w:rsidRPr="00D51AE5" w:rsidRDefault="006C4239" w:rsidP="006C4239">
            <w:pPr>
              <w:pStyle w:val="ListParagraph"/>
              <w:numPr>
                <w:ilvl w:val="2"/>
                <w:numId w:val="39"/>
              </w:numPr>
              <w:ind w:left="1985" w:hanging="567"/>
              <w:jc w:val="both"/>
            </w:pPr>
            <w:r w:rsidRPr="00D51AE5">
              <w:t xml:space="preserve">All interested participants shall be informed of the schedule of orientation or briefing on the </w:t>
            </w:r>
            <w:r w:rsidRPr="00D51AE5">
              <w:rPr>
                <w:iCs/>
              </w:rPr>
              <w:t>OESC</w:t>
            </w:r>
            <w:r w:rsidRPr="00D51AE5">
              <w:t xml:space="preserve"> Application requirements and processes.</w:t>
            </w:r>
          </w:p>
        </w:tc>
        <w:tc>
          <w:tcPr>
            <w:tcW w:w="3590" w:type="dxa"/>
          </w:tcPr>
          <w:p w14:paraId="45D458C8" w14:textId="77777777" w:rsidR="006C4239" w:rsidRPr="006A1E11" w:rsidRDefault="006C4239" w:rsidP="006A1E11">
            <w:pPr>
              <w:ind w:left="1980"/>
              <w:jc w:val="both"/>
            </w:pPr>
          </w:p>
        </w:tc>
        <w:tc>
          <w:tcPr>
            <w:tcW w:w="4267" w:type="dxa"/>
          </w:tcPr>
          <w:p w14:paraId="4D8D35AE" w14:textId="77777777" w:rsidR="006C4239" w:rsidRPr="006A1E11" w:rsidRDefault="006C4239" w:rsidP="006A1E11">
            <w:pPr>
              <w:ind w:left="1980"/>
              <w:jc w:val="both"/>
            </w:pPr>
          </w:p>
        </w:tc>
      </w:tr>
      <w:tr w:rsidR="006C4239" w:rsidRPr="00D51AE5" w14:paraId="6A5F973E" w14:textId="31B061E0" w:rsidTr="007639A7">
        <w:tc>
          <w:tcPr>
            <w:tcW w:w="6044" w:type="dxa"/>
          </w:tcPr>
          <w:p w14:paraId="761DA569" w14:textId="77777777" w:rsidR="006C4239" w:rsidRPr="00D51AE5" w:rsidRDefault="006C4239" w:rsidP="006C4239">
            <w:pPr>
              <w:pStyle w:val="ListParagraph"/>
              <w:numPr>
                <w:ilvl w:val="2"/>
                <w:numId w:val="39"/>
              </w:numPr>
              <w:ind w:left="1985" w:hanging="567"/>
              <w:jc w:val="both"/>
            </w:pPr>
            <w:r w:rsidRPr="00D51AE5">
              <w:t>Any interested participant may waive attendance to the orientation in writing either in its LOI or in response to the notice of the schedule of orientation provided in the preceding paragraph.</w:t>
            </w:r>
          </w:p>
        </w:tc>
        <w:tc>
          <w:tcPr>
            <w:tcW w:w="3590" w:type="dxa"/>
          </w:tcPr>
          <w:p w14:paraId="2875B775" w14:textId="77777777" w:rsidR="006C4239" w:rsidRPr="006A1E11" w:rsidRDefault="006C4239" w:rsidP="006A1E11">
            <w:pPr>
              <w:ind w:left="1980"/>
              <w:jc w:val="both"/>
            </w:pPr>
          </w:p>
        </w:tc>
        <w:tc>
          <w:tcPr>
            <w:tcW w:w="4267" w:type="dxa"/>
          </w:tcPr>
          <w:p w14:paraId="56A7AF1B" w14:textId="77777777" w:rsidR="006C4239" w:rsidRPr="006A1E11" w:rsidRDefault="006C4239" w:rsidP="006A1E11">
            <w:pPr>
              <w:ind w:left="1980"/>
              <w:jc w:val="both"/>
            </w:pPr>
          </w:p>
        </w:tc>
      </w:tr>
      <w:tr w:rsidR="006C4239" w:rsidRPr="00D51AE5" w14:paraId="037D3553" w14:textId="1D5CFD00" w:rsidTr="007639A7">
        <w:tc>
          <w:tcPr>
            <w:tcW w:w="6044" w:type="dxa"/>
          </w:tcPr>
          <w:p w14:paraId="68E3BAAC" w14:textId="77777777" w:rsidR="006C4239" w:rsidRPr="00D51AE5" w:rsidRDefault="006C4239" w:rsidP="006C4239">
            <w:pPr>
              <w:spacing w:line="276" w:lineRule="auto"/>
              <w:contextualSpacing/>
              <w:jc w:val="both"/>
              <w:rPr>
                <w:rFonts w:ascii="Arial" w:hAnsi="Arial" w:cs="Arial"/>
                <w:b/>
                <w:i/>
                <w:lang w:val="en-US"/>
              </w:rPr>
            </w:pPr>
            <w:r w:rsidRPr="00D51AE5">
              <w:rPr>
                <w:rFonts w:ascii="Arial" w:hAnsi="Arial" w:cs="Arial"/>
                <w:b/>
                <w:bCs/>
                <w:i/>
                <w:iCs/>
                <w:lang w:val="en-US"/>
              </w:rPr>
              <w:t xml:space="preserve">Part 2. </w:t>
            </w:r>
            <w:r w:rsidRPr="00D51AE5">
              <w:rPr>
                <w:rFonts w:ascii="Arial" w:hAnsi="Arial" w:cs="Arial"/>
                <w:b/>
                <w:i/>
                <w:lang w:val="en-US"/>
              </w:rPr>
              <w:t>Area Verification and Technical Guidelines</w:t>
            </w:r>
          </w:p>
        </w:tc>
        <w:tc>
          <w:tcPr>
            <w:tcW w:w="3590" w:type="dxa"/>
          </w:tcPr>
          <w:p w14:paraId="378A23F0" w14:textId="77777777" w:rsidR="006C4239" w:rsidRPr="006A1E11" w:rsidRDefault="006C4239" w:rsidP="006A1E11">
            <w:pPr>
              <w:ind w:left="360"/>
              <w:jc w:val="both"/>
              <w:rPr>
                <w:b/>
                <w:bCs/>
                <w:i/>
                <w:iCs/>
              </w:rPr>
            </w:pPr>
          </w:p>
        </w:tc>
        <w:tc>
          <w:tcPr>
            <w:tcW w:w="4267" w:type="dxa"/>
          </w:tcPr>
          <w:p w14:paraId="1362B787" w14:textId="77777777" w:rsidR="006C4239" w:rsidRPr="006A1E11" w:rsidRDefault="006C4239" w:rsidP="006A1E11">
            <w:pPr>
              <w:ind w:left="360"/>
              <w:jc w:val="both"/>
              <w:rPr>
                <w:b/>
                <w:bCs/>
                <w:i/>
                <w:iCs/>
              </w:rPr>
            </w:pPr>
          </w:p>
        </w:tc>
      </w:tr>
      <w:tr w:rsidR="006C4239" w:rsidRPr="00D51AE5" w14:paraId="1DCE5018" w14:textId="02B7D2DC" w:rsidTr="007639A7">
        <w:tc>
          <w:tcPr>
            <w:tcW w:w="6044" w:type="dxa"/>
          </w:tcPr>
          <w:p w14:paraId="19459769" w14:textId="77777777" w:rsidR="006C4239" w:rsidRPr="00D51AE5" w:rsidRDefault="006C4239" w:rsidP="006C4239">
            <w:pPr>
              <w:pStyle w:val="ListParagraph"/>
              <w:numPr>
                <w:ilvl w:val="1"/>
                <w:numId w:val="39"/>
              </w:numPr>
              <w:ind w:left="709"/>
              <w:jc w:val="both"/>
            </w:pPr>
            <w:r w:rsidRPr="00D51AE5">
              <w:rPr>
                <w:b/>
                <w:bCs/>
              </w:rPr>
              <w:t>Configuration of Area</w:t>
            </w:r>
            <w:r w:rsidRPr="00D51AE5">
              <w:rPr>
                <w:b/>
              </w:rPr>
              <w:t xml:space="preserve"> of </w:t>
            </w:r>
            <w:r w:rsidRPr="00D51AE5">
              <w:rPr>
                <w:b/>
                <w:bCs/>
              </w:rPr>
              <w:t>Interest</w:t>
            </w:r>
            <w:r w:rsidRPr="00D51AE5">
              <w:t xml:space="preserve">. The area of interest (AOI) for the </w:t>
            </w:r>
            <w:r w:rsidRPr="00D51AE5">
              <w:rPr>
                <w:iCs/>
              </w:rPr>
              <w:t>OESC</w:t>
            </w:r>
            <w:r w:rsidRPr="00D51AE5">
              <w:t xml:space="preserve"> Application shall either be polygonal or in block following the Blocking System or a combination of both.</w:t>
            </w:r>
          </w:p>
        </w:tc>
        <w:tc>
          <w:tcPr>
            <w:tcW w:w="3590" w:type="dxa"/>
          </w:tcPr>
          <w:p w14:paraId="1DB386D1" w14:textId="77777777" w:rsidR="006C4239" w:rsidRPr="006A1E11" w:rsidRDefault="006C4239" w:rsidP="006A1E11">
            <w:pPr>
              <w:ind w:left="1080"/>
              <w:jc w:val="both"/>
              <w:rPr>
                <w:b/>
                <w:bCs/>
              </w:rPr>
            </w:pPr>
          </w:p>
        </w:tc>
        <w:tc>
          <w:tcPr>
            <w:tcW w:w="4267" w:type="dxa"/>
          </w:tcPr>
          <w:p w14:paraId="61210189" w14:textId="77777777" w:rsidR="006C4239" w:rsidRPr="006A1E11" w:rsidRDefault="006C4239" w:rsidP="006A1E11">
            <w:pPr>
              <w:ind w:left="1080"/>
              <w:jc w:val="both"/>
              <w:rPr>
                <w:b/>
                <w:bCs/>
              </w:rPr>
            </w:pPr>
          </w:p>
        </w:tc>
      </w:tr>
      <w:tr w:rsidR="006C4239" w:rsidRPr="00D51AE5" w14:paraId="65029D71" w14:textId="58EC72BE" w:rsidTr="007639A7">
        <w:tc>
          <w:tcPr>
            <w:tcW w:w="6044" w:type="dxa"/>
          </w:tcPr>
          <w:p w14:paraId="7B50C781" w14:textId="77777777" w:rsidR="006C4239" w:rsidRPr="00D51AE5" w:rsidRDefault="006C4239" w:rsidP="006C4239">
            <w:pPr>
              <w:pStyle w:val="ListParagraph"/>
              <w:numPr>
                <w:ilvl w:val="1"/>
                <w:numId w:val="39"/>
              </w:numPr>
              <w:ind w:left="709"/>
              <w:jc w:val="both"/>
            </w:pPr>
            <w:r w:rsidRPr="00D51AE5">
              <w:rPr>
                <w:b/>
                <w:bCs/>
              </w:rPr>
              <w:t xml:space="preserve">Area Verification. </w:t>
            </w:r>
            <w:r w:rsidRPr="00D51AE5">
              <w:t>Within fourteen (14) days from receipt of the LOI, ITMS shall complete the area verification and determine whether the AOI is:</w:t>
            </w:r>
          </w:p>
        </w:tc>
        <w:tc>
          <w:tcPr>
            <w:tcW w:w="3590" w:type="dxa"/>
          </w:tcPr>
          <w:p w14:paraId="0CF2F7B6" w14:textId="77777777" w:rsidR="006C4239" w:rsidRPr="006A1E11" w:rsidRDefault="006C4239" w:rsidP="006A1E11">
            <w:pPr>
              <w:ind w:left="1080"/>
              <w:jc w:val="both"/>
              <w:rPr>
                <w:b/>
                <w:bCs/>
              </w:rPr>
            </w:pPr>
          </w:p>
        </w:tc>
        <w:tc>
          <w:tcPr>
            <w:tcW w:w="4267" w:type="dxa"/>
          </w:tcPr>
          <w:p w14:paraId="01FAC3FC" w14:textId="77777777" w:rsidR="006C4239" w:rsidRPr="006A1E11" w:rsidRDefault="006C4239" w:rsidP="006A1E11">
            <w:pPr>
              <w:ind w:left="1080"/>
              <w:jc w:val="both"/>
              <w:rPr>
                <w:b/>
                <w:bCs/>
              </w:rPr>
            </w:pPr>
          </w:p>
        </w:tc>
      </w:tr>
      <w:tr w:rsidR="006C4239" w:rsidRPr="00D51AE5" w14:paraId="431F4D0C" w14:textId="03186E2D" w:rsidTr="007639A7">
        <w:tc>
          <w:tcPr>
            <w:tcW w:w="6044" w:type="dxa"/>
          </w:tcPr>
          <w:p w14:paraId="305EE260" w14:textId="77777777" w:rsidR="006C4239" w:rsidRPr="00D51AE5" w:rsidRDefault="006C4239" w:rsidP="006C4239">
            <w:pPr>
              <w:pStyle w:val="ListParagraph"/>
              <w:numPr>
                <w:ilvl w:val="2"/>
                <w:numId w:val="39"/>
              </w:numPr>
              <w:ind w:left="1985" w:hanging="567"/>
              <w:jc w:val="both"/>
            </w:pPr>
            <w:r w:rsidRPr="00D51AE5">
              <w:t xml:space="preserve">Covered by an existing PDA under the OCSP or </w:t>
            </w:r>
            <w:r w:rsidRPr="00D51AE5">
              <w:rPr>
                <w:iCs/>
              </w:rPr>
              <w:t>OESC</w:t>
            </w:r>
            <w:r w:rsidRPr="00D51AE5">
              <w:t xml:space="preserve"> pending application, or other energy resource assessment activities as submitted by the concerned DOE unit and verified by ITMS;</w:t>
            </w:r>
          </w:p>
        </w:tc>
        <w:tc>
          <w:tcPr>
            <w:tcW w:w="3590" w:type="dxa"/>
          </w:tcPr>
          <w:p w14:paraId="7ED0689C" w14:textId="77777777" w:rsidR="006C4239" w:rsidRPr="006A1E11" w:rsidRDefault="006C4239" w:rsidP="006A1E11">
            <w:pPr>
              <w:ind w:left="1980"/>
              <w:jc w:val="both"/>
            </w:pPr>
          </w:p>
        </w:tc>
        <w:tc>
          <w:tcPr>
            <w:tcW w:w="4267" w:type="dxa"/>
          </w:tcPr>
          <w:p w14:paraId="5B477280" w14:textId="77777777" w:rsidR="006C4239" w:rsidRPr="006A1E11" w:rsidRDefault="006C4239" w:rsidP="006A1E11">
            <w:pPr>
              <w:ind w:left="1980"/>
              <w:jc w:val="both"/>
            </w:pPr>
          </w:p>
        </w:tc>
      </w:tr>
      <w:tr w:rsidR="006C4239" w:rsidRPr="00D51AE5" w14:paraId="0C213481" w14:textId="4AFEAB3B" w:rsidTr="007639A7">
        <w:tc>
          <w:tcPr>
            <w:tcW w:w="6044" w:type="dxa"/>
          </w:tcPr>
          <w:p w14:paraId="04E97B05" w14:textId="77777777" w:rsidR="006C4239" w:rsidRPr="00D51AE5" w:rsidRDefault="006C4239" w:rsidP="006C4239">
            <w:pPr>
              <w:pStyle w:val="ListParagraph"/>
              <w:numPr>
                <w:ilvl w:val="2"/>
                <w:numId w:val="39"/>
              </w:numPr>
              <w:ind w:left="1985" w:hanging="567"/>
              <w:jc w:val="both"/>
            </w:pPr>
            <w:r w:rsidRPr="00D51AE5">
              <w:t xml:space="preserve">Within or overlaps with the area of an existing energy service or operating contract such as Petroleum Service Contract (PSC), Coal Operating Contract (COC), Small-Scale Coal Mining Permit (SSCMP) or Renewable Energy Service Contract (RESC), other than </w:t>
            </w:r>
            <w:r w:rsidRPr="00D51AE5">
              <w:rPr>
                <w:iCs/>
              </w:rPr>
              <w:t>OESC</w:t>
            </w:r>
            <w:r w:rsidRPr="00D51AE5">
              <w:t>;</w:t>
            </w:r>
          </w:p>
        </w:tc>
        <w:tc>
          <w:tcPr>
            <w:tcW w:w="3590" w:type="dxa"/>
          </w:tcPr>
          <w:p w14:paraId="51B7CCDD" w14:textId="77777777" w:rsidR="006C4239" w:rsidRPr="006A1E11" w:rsidRDefault="006C4239" w:rsidP="006A1E11">
            <w:pPr>
              <w:ind w:left="1980"/>
              <w:jc w:val="both"/>
            </w:pPr>
          </w:p>
        </w:tc>
        <w:tc>
          <w:tcPr>
            <w:tcW w:w="4267" w:type="dxa"/>
          </w:tcPr>
          <w:p w14:paraId="26FBD166" w14:textId="77777777" w:rsidR="006C4239" w:rsidRPr="006A1E11" w:rsidRDefault="006C4239" w:rsidP="006A1E11">
            <w:pPr>
              <w:ind w:left="1980"/>
              <w:jc w:val="both"/>
            </w:pPr>
          </w:p>
        </w:tc>
      </w:tr>
      <w:tr w:rsidR="006C4239" w:rsidRPr="00D51AE5" w14:paraId="1DB9E999" w14:textId="5D55D2ED" w:rsidTr="007639A7">
        <w:tc>
          <w:tcPr>
            <w:tcW w:w="6044" w:type="dxa"/>
          </w:tcPr>
          <w:p w14:paraId="5EDEA056" w14:textId="77777777" w:rsidR="006C4239" w:rsidRPr="00D51AE5" w:rsidRDefault="006C4239" w:rsidP="006C4239">
            <w:pPr>
              <w:pStyle w:val="ListParagraph"/>
              <w:numPr>
                <w:ilvl w:val="2"/>
                <w:numId w:val="39"/>
              </w:numPr>
              <w:ind w:left="1985" w:hanging="567"/>
              <w:jc w:val="both"/>
            </w:pPr>
            <w:r w:rsidRPr="00D51AE5">
              <w:t xml:space="preserve">Within or overlaps with the area of an existing energy service or operating contract application such as Petroleum SC, COC, SSCMP or RESC, other than </w:t>
            </w:r>
            <w:r w:rsidRPr="00D51AE5">
              <w:rPr>
                <w:iCs/>
              </w:rPr>
              <w:t>OESC</w:t>
            </w:r>
            <w:r w:rsidRPr="00D51AE5">
              <w:t xml:space="preserve"> Application;</w:t>
            </w:r>
          </w:p>
        </w:tc>
        <w:tc>
          <w:tcPr>
            <w:tcW w:w="3590" w:type="dxa"/>
          </w:tcPr>
          <w:p w14:paraId="5113AB7E" w14:textId="77777777" w:rsidR="006C4239" w:rsidRPr="006A1E11" w:rsidRDefault="006C4239" w:rsidP="006A1E11">
            <w:pPr>
              <w:ind w:left="1980"/>
              <w:jc w:val="both"/>
            </w:pPr>
          </w:p>
        </w:tc>
        <w:tc>
          <w:tcPr>
            <w:tcW w:w="4267" w:type="dxa"/>
          </w:tcPr>
          <w:p w14:paraId="4089A790" w14:textId="77777777" w:rsidR="006C4239" w:rsidRPr="006A1E11" w:rsidRDefault="006C4239" w:rsidP="006A1E11">
            <w:pPr>
              <w:ind w:left="1980"/>
              <w:jc w:val="both"/>
            </w:pPr>
          </w:p>
        </w:tc>
      </w:tr>
      <w:tr w:rsidR="006C4239" w:rsidRPr="00D51AE5" w14:paraId="2511CCDA" w14:textId="140BF3AF" w:rsidTr="007639A7">
        <w:tc>
          <w:tcPr>
            <w:tcW w:w="6044" w:type="dxa"/>
          </w:tcPr>
          <w:p w14:paraId="7A9E46DF" w14:textId="77777777" w:rsidR="006C4239" w:rsidRPr="00D51AE5" w:rsidRDefault="006C4239" w:rsidP="006C4239">
            <w:pPr>
              <w:pStyle w:val="ListParagraph"/>
              <w:numPr>
                <w:ilvl w:val="2"/>
                <w:numId w:val="39"/>
              </w:numPr>
              <w:ind w:left="1985" w:hanging="567"/>
              <w:jc w:val="both"/>
            </w:pPr>
            <w:r w:rsidRPr="00D51AE5">
              <w:t xml:space="preserve">Within the protected and environmentally critical areas under RA No. 11038, or the “Expanded National Integrated Protected Areas System Act of 2018” (“ENIPAS”), </w:t>
            </w:r>
            <w:r w:rsidRPr="00D51AE5">
              <w:rPr>
                <w:i/>
                <w:iCs/>
              </w:rPr>
              <w:t>i.e.</w:t>
            </w:r>
            <w:r w:rsidRPr="00D51AE5">
              <w:t xml:space="preserve">, within or outside the strict protection zones, ancestral domains with Certificate of Ancestral Domain Title or Claim, areas with Tenurial Instruments from other government agencies, areas prohibited, reserved, or used for national defense, navigation, irrigation, and other development projects, and other areas covered by significant geospatial data that will be identified as necessary in the evaluation of the </w:t>
            </w:r>
            <w:r w:rsidRPr="00D51AE5">
              <w:rPr>
                <w:iCs/>
              </w:rPr>
              <w:t>OESC</w:t>
            </w:r>
            <w:r w:rsidRPr="00D51AE5">
              <w:t xml:space="preserve"> Application based on available data on file with ITMS and the National Mapping Resource Information Authority’s Philippine Geoportal Project website.</w:t>
            </w:r>
          </w:p>
        </w:tc>
        <w:tc>
          <w:tcPr>
            <w:tcW w:w="3590" w:type="dxa"/>
          </w:tcPr>
          <w:p w14:paraId="2F34EDDE" w14:textId="77777777" w:rsidR="006C4239" w:rsidRPr="006A1E11" w:rsidRDefault="006C4239" w:rsidP="006A1E11">
            <w:pPr>
              <w:ind w:left="1980"/>
              <w:jc w:val="both"/>
            </w:pPr>
          </w:p>
        </w:tc>
        <w:tc>
          <w:tcPr>
            <w:tcW w:w="4267" w:type="dxa"/>
          </w:tcPr>
          <w:p w14:paraId="29903CBE" w14:textId="77777777" w:rsidR="006C4239" w:rsidRPr="006A1E11" w:rsidRDefault="006C4239" w:rsidP="006A1E11">
            <w:pPr>
              <w:ind w:left="1980"/>
              <w:jc w:val="both"/>
            </w:pPr>
          </w:p>
        </w:tc>
      </w:tr>
      <w:tr w:rsidR="006C4239" w:rsidRPr="00D51AE5" w14:paraId="3D99961F" w14:textId="616ED08D" w:rsidTr="007639A7">
        <w:tc>
          <w:tcPr>
            <w:tcW w:w="6044" w:type="dxa"/>
          </w:tcPr>
          <w:p w14:paraId="59EB93FF"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Pursuant to the mandate of the DOE to supervise and control all government activities relative to energy project under the EPIRA, concerned government agencies and entities shall provide the DOE the list of abovementioned areas with technical description;</w:t>
            </w:r>
          </w:p>
        </w:tc>
        <w:tc>
          <w:tcPr>
            <w:tcW w:w="3590" w:type="dxa"/>
          </w:tcPr>
          <w:p w14:paraId="46EA0864" w14:textId="77777777" w:rsidR="006C4239" w:rsidRPr="006A1E11" w:rsidRDefault="006C4239" w:rsidP="006A1E11">
            <w:pPr>
              <w:ind w:left="360"/>
              <w:jc w:val="both"/>
            </w:pPr>
          </w:p>
        </w:tc>
        <w:tc>
          <w:tcPr>
            <w:tcW w:w="4267" w:type="dxa"/>
          </w:tcPr>
          <w:p w14:paraId="73439925" w14:textId="77777777" w:rsidR="006C4239" w:rsidRPr="006A1E11" w:rsidRDefault="006C4239" w:rsidP="006A1E11">
            <w:pPr>
              <w:ind w:left="360"/>
              <w:jc w:val="both"/>
            </w:pPr>
          </w:p>
        </w:tc>
      </w:tr>
      <w:tr w:rsidR="006C4239" w:rsidRPr="00D51AE5" w14:paraId="5CE90538" w14:textId="6EB40926" w:rsidTr="007639A7">
        <w:tc>
          <w:tcPr>
            <w:tcW w:w="6044" w:type="dxa"/>
          </w:tcPr>
          <w:p w14:paraId="65FE03EA" w14:textId="77777777" w:rsidR="006C4239" w:rsidRPr="00D51AE5" w:rsidRDefault="006C4239" w:rsidP="006C4239">
            <w:pPr>
              <w:pStyle w:val="ListParagraph"/>
              <w:numPr>
                <w:ilvl w:val="2"/>
                <w:numId w:val="39"/>
              </w:numPr>
              <w:ind w:left="1985" w:hanging="567"/>
              <w:jc w:val="both"/>
            </w:pPr>
            <w:r w:rsidRPr="00D51AE5">
              <w:t>Covered by the LOI of the same or other energy resource; or</w:t>
            </w:r>
          </w:p>
        </w:tc>
        <w:tc>
          <w:tcPr>
            <w:tcW w:w="3590" w:type="dxa"/>
          </w:tcPr>
          <w:p w14:paraId="65046D42" w14:textId="77777777" w:rsidR="006C4239" w:rsidRPr="006A1E11" w:rsidRDefault="006C4239" w:rsidP="006A1E11">
            <w:pPr>
              <w:ind w:left="1980"/>
              <w:jc w:val="both"/>
            </w:pPr>
          </w:p>
        </w:tc>
        <w:tc>
          <w:tcPr>
            <w:tcW w:w="4267" w:type="dxa"/>
          </w:tcPr>
          <w:p w14:paraId="0BCFDBA9" w14:textId="77777777" w:rsidR="006C4239" w:rsidRPr="006A1E11" w:rsidRDefault="006C4239" w:rsidP="006A1E11">
            <w:pPr>
              <w:ind w:left="1980"/>
              <w:jc w:val="both"/>
            </w:pPr>
          </w:p>
        </w:tc>
      </w:tr>
      <w:tr w:rsidR="006C4239" w:rsidRPr="00D51AE5" w14:paraId="6438BB34" w14:textId="430901F2" w:rsidTr="007639A7">
        <w:tc>
          <w:tcPr>
            <w:tcW w:w="6044" w:type="dxa"/>
          </w:tcPr>
          <w:p w14:paraId="7670E61C" w14:textId="77777777" w:rsidR="006C4239" w:rsidRPr="00D51AE5" w:rsidRDefault="006C4239" w:rsidP="006C4239">
            <w:pPr>
              <w:pStyle w:val="ListParagraph"/>
              <w:numPr>
                <w:ilvl w:val="2"/>
                <w:numId w:val="39"/>
              </w:numPr>
              <w:ind w:left="1985" w:hanging="567"/>
              <w:jc w:val="both"/>
            </w:pPr>
            <w:r w:rsidRPr="00D51AE5">
              <w:t xml:space="preserve">Open for </w:t>
            </w:r>
            <w:r w:rsidRPr="00D51AE5">
              <w:rPr>
                <w:iCs/>
              </w:rPr>
              <w:t>OESC</w:t>
            </w:r>
            <w:r w:rsidRPr="00D51AE5">
              <w:t xml:space="preserve"> Applications.</w:t>
            </w:r>
          </w:p>
        </w:tc>
        <w:tc>
          <w:tcPr>
            <w:tcW w:w="3590" w:type="dxa"/>
          </w:tcPr>
          <w:p w14:paraId="14FAA7DD" w14:textId="77777777" w:rsidR="006C4239" w:rsidRPr="006A1E11" w:rsidRDefault="006C4239" w:rsidP="006A1E11">
            <w:pPr>
              <w:ind w:left="1980"/>
              <w:jc w:val="both"/>
            </w:pPr>
          </w:p>
        </w:tc>
        <w:tc>
          <w:tcPr>
            <w:tcW w:w="4267" w:type="dxa"/>
          </w:tcPr>
          <w:p w14:paraId="4B9C8252" w14:textId="77777777" w:rsidR="006C4239" w:rsidRPr="006A1E11" w:rsidRDefault="006C4239" w:rsidP="006A1E11">
            <w:pPr>
              <w:ind w:left="1980"/>
              <w:jc w:val="both"/>
            </w:pPr>
          </w:p>
        </w:tc>
      </w:tr>
      <w:tr w:rsidR="006C4239" w:rsidRPr="00D51AE5" w14:paraId="415450C2" w14:textId="3E570779" w:rsidTr="007639A7">
        <w:tc>
          <w:tcPr>
            <w:tcW w:w="6044" w:type="dxa"/>
          </w:tcPr>
          <w:p w14:paraId="29AF336B" w14:textId="77777777" w:rsidR="006C4239" w:rsidRPr="00D51AE5" w:rsidRDefault="006C4239" w:rsidP="006C4239">
            <w:pPr>
              <w:pStyle w:val="ListParagraph"/>
              <w:numPr>
                <w:ilvl w:val="1"/>
                <w:numId w:val="39"/>
              </w:numPr>
              <w:ind w:left="709"/>
              <w:jc w:val="both"/>
              <w:rPr>
                <w:rFonts w:eastAsia="Arial"/>
              </w:rPr>
            </w:pPr>
            <w:r w:rsidRPr="00D51AE5">
              <w:rPr>
                <w:b/>
                <w:bCs/>
              </w:rPr>
              <w:t xml:space="preserve">Area Verification Results. </w:t>
            </w:r>
            <w:r w:rsidRPr="00D51AE5">
              <w:t xml:space="preserve">ITMS shall provide HOEMD with the results of area verification through the EVOSS System. </w:t>
            </w:r>
            <w:r w:rsidRPr="00D51AE5">
              <w:rPr>
                <w:rFonts w:eastAsia="Arial"/>
              </w:rPr>
              <w:t>HOEMD shall conduct the final technical verification and determine whether the proposed ocean energy project will cause substantial disruption to an existing ocean energy project. W</w:t>
            </w:r>
            <w:r w:rsidRPr="00D51AE5">
              <w:t>ithin three (3) days upon receipt of the final technical verification results,</w:t>
            </w:r>
            <w:r w:rsidRPr="00D51AE5">
              <w:rPr>
                <w:rFonts w:eastAsia="Arial"/>
              </w:rPr>
              <w:t xml:space="preserve"> HOEMD, through the REMB Assistant Director, shall endorse the final verification results and upload the letter containing the results of area verification in the EVOSS System. </w:t>
            </w:r>
          </w:p>
        </w:tc>
        <w:tc>
          <w:tcPr>
            <w:tcW w:w="3590" w:type="dxa"/>
          </w:tcPr>
          <w:p w14:paraId="5D110458" w14:textId="77777777" w:rsidR="006C4239" w:rsidRPr="006A1E11" w:rsidRDefault="006C4239" w:rsidP="006A1E11">
            <w:pPr>
              <w:ind w:left="1080"/>
              <w:jc w:val="both"/>
              <w:rPr>
                <w:b/>
                <w:bCs/>
              </w:rPr>
            </w:pPr>
          </w:p>
        </w:tc>
        <w:tc>
          <w:tcPr>
            <w:tcW w:w="4267" w:type="dxa"/>
          </w:tcPr>
          <w:p w14:paraId="2BC67963" w14:textId="77777777" w:rsidR="006C4239" w:rsidRPr="006A1E11" w:rsidRDefault="006C4239" w:rsidP="006A1E11">
            <w:pPr>
              <w:ind w:left="1080"/>
              <w:jc w:val="both"/>
              <w:rPr>
                <w:b/>
                <w:bCs/>
              </w:rPr>
            </w:pPr>
          </w:p>
        </w:tc>
      </w:tr>
      <w:tr w:rsidR="006C4239" w:rsidRPr="00D51AE5" w14:paraId="6F4EB07B" w14:textId="5820D583" w:rsidTr="007639A7">
        <w:tc>
          <w:tcPr>
            <w:tcW w:w="6044" w:type="dxa"/>
          </w:tcPr>
          <w:p w14:paraId="6E2728A2" w14:textId="77777777" w:rsidR="006C4239" w:rsidRPr="00D51AE5" w:rsidRDefault="006C4239" w:rsidP="006C4239">
            <w:pPr>
              <w:spacing w:line="276" w:lineRule="auto"/>
              <w:jc w:val="both"/>
              <w:rPr>
                <w:rFonts w:ascii="Arial" w:eastAsia="Arial" w:hAnsi="Arial" w:cs="Arial"/>
                <w:lang w:val="en-US"/>
              </w:rPr>
            </w:pPr>
            <w:r w:rsidRPr="00D51AE5">
              <w:rPr>
                <w:rFonts w:ascii="Arial" w:eastAsia="Arial" w:hAnsi="Arial" w:cs="Arial"/>
                <w:lang w:val="en-US"/>
              </w:rPr>
              <w:t xml:space="preserve">If the </w:t>
            </w:r>
            <w:r w:rsidRPr="00D51AE5">
              <w:rPr>
                <w:rFonts w:ascii="Arial" w:hAnsi="Arial" w:cs="Arial"/>
                <w:iCs/>
                <w:lang w:val="en-US"/>
              </w:rPr>
              <w:t>OESC</w:t>
            </w:r>
            <w:r w:rsidRPr="00D51AE5">
              <w:rPr>
                <w:rFonts w:ascii="Arial" w:eastAsia="Arial" w:hAnsi="Arial" w:cs="Arial"/>
                <w:lang w:val="en-US"/>
              </w:rPr>
              <w:t xml:space="preserve"> Application cannot proceed based on the final technical verification results, the interested participant may either (a) reconfigure the AOI, (b) file a request to allow the development of multiple resources in the area; or (c) comply with Section 5.7.3 of this Chapter, as applicable.</w:t>
            </w:r>
          </w:p>
        </w:tc>
        <w:tc>
          <w:tcPr>
            <w:tcW w:w="3590" w:type="dxa"/>
          </w:tcPr>
          <w:p w14:paraId="5913065C" w14:textId="77777777" w:rsidR="006C4239" w:rsidRPr="006A1E11" w:rsidRDefault="006C4239" w:rsidP="006A1E11">
            <w:pPr>
              <w:ind w:left="360"/>
              <w:jc w:val="both"/>
              <w:rPr>
                <w:rFonts w:eastAsia="Arial"/>
              </w:rPr>
            </w:pPr>
          </w:p>
        </w:tc>
        <w:tc>
          <w:tcPr>
            <w:tcW w:w="4267" w:type="dxa"/>
          </w:tcPr>
          <w:p w14:paraId="7EABEC9C" w14:textId="77777777" w:rsidR="006C4239" w:rsidRPr="006A1E11" w:rsidRDefault="006C4239" w:rsidP="006A1E11">
            <w:pPr>
              <w:ind w:left="360"/>
              <w:jc w:val="both"/>
              <w:rPr>
                <w:rFonts w:eastAsia="Arial"/>
              </w:rPr>
            </w:pPr>
          </w:p>
        </w:tc>
      </w:tr>
      <w:tr w:rsidR="006C4239" w:rsidRPr="00D51AE5" w14:paraId="4EF576D2" w14:textId="0215A1A3" w:rsidTr="007639A7">
        <w:tc>
          <w:tcPr>
            <w:tcW w:w="6044" w:type="dxa"/>
          </w:tcPr>
          <w:p w14:paraId="11ADADE9" w14:textId="77777777" w:rsidR="006C4239" w:rsidRPr="00D51AE5" w:rsidRDefault="006C4239" w:rsidP="006C4239">
            <w:pPr>
              <w:pStyle w:val="ListParagraph"/>
              <w:numPr>
                <w:ilvl w:val="2"/>
                <w:numId w:val="39"/>
              </w:numPr>
              <w:ind w:left="1985" w:hanging="567"/>
              <w:jc w:val="both"/>
              <w:rPr>
                <w:rFonts w:eastAsia="Arial"/>
              </w:rPr>
            </w:pPr>
            <w:r w:rsidRPr="00D51AE5">
              <w:rPr>
                <w:b/>
                <w:bCs/>
              </w:rPr>
              <w:t xml:space="preserve">Reconfigured Area of Interest. </w:t>
            </w:r>
            <w:r w:rsidRPr="00D51AE5">
              <w:t xml:space="preserve">Within ten (10) days from uploading of the final technical verification results, the interested participant and HOEMD may conduct an assessment if the AOI may be reconfigured without material adverse effect on the feasibility of the proposed ocean energy project. The interested participant may reconfigure its AOI </w:t>
            </w:r>
            <w:r w:rsidRPr="00D51AE5">
              <w:rPr>
                <w:rFonts w:eastAsia="Arial"/>
              </w:rPr>
              <w:t xml:space="preserve">to cover only such portion as may allow the </w:t>
            </w:r>
            <w:r w:rsidRPr="00D51AE5">
              <w:rPr>
                <w:iCs/>
              </w:rPr>
              <w:t>OESC</w:t>
            </w:r>
            <w:r w:rsidRPr="00D51AE5">
              <w:rPr>
                <w:rFonts w:eastAsia="Arial"/>
              </w:rPr>
              <w:t xml:space="preserve"> Application to proceed. After confirmation by ITMS that no portion of the reconfigured AOI falls under Sections 5.6.1, 5.6.2, 5.6.3 or 5.6.5 of this Chapter, HOEMD shall upload in the EVOSS System a Notice to Apply to the interested participant for the filing of the </w:t>
            </w:r>
            <w:r w:rsidRPr="00D51AE5">
              <w:rPr>
                <w:iCs/>
              </w:rPr>
              <w:t>OESC</w:t>
            </w:r>
            <w:r w:rsidRPr="00D51AE5">
              <w:rPr>
                <w:rFonts w:eastAsia="Arial"/>
              </w:rPr>
              <w:t xml:space="preserve"> Application.</w:t>
            </w:r>
          </w:p>
        </w:tc>
        <w:tc>
          <w:tcPr>
            <w:tcW w:w="3590" w:type="dxa"/>
          </w:tcPr>
          <w:p w14:paraId="5D612CE8" w14:textId="77777777" w:rsidR="006C4239" w:rsidRPr="006A1E11" w:rsidRDefault="006C4239" w:rsidP="006A1E11">
            <w:pPr>
              <w:ind w:left="1980"/>
              <w:jc w:val="both"/>
              <w:rPr>
                <w:b/>
                <w:bCs/>
              </w:rPr>
            </w:pPr>
          </w:p>
        </w:tc>
        <w:tc>
          <w:tcPr>
            <w:tcW w:w="4267" w:type="dxa"/>
          </w:tcPr>
          <w:p w14:paraId="12E69A3F" w14:textId="77777777" w:rsidR="006C4239" w:rsidRPr="006A1E11" w:rsidRDefault="006C4239" w:rsidP="006A1E11">
            <w:pPr>
              <w:ind w:left="1980"/>
              <w:jc w:val="both"/>
              <w:rPr>
                <w:b/>
                <w:bCs/>
              </w:rPr>
            </w:pPr>
          </w:p>
        </w:tc>
      </w:tr>
      <w:tr w:rsidR="006C4239" w:rsidRPr="00D51AE5" w14:paraId="1A84AA88" w14:textId="18D5E5BE" w:rsidTr="007639A7">
        <w:tc>
          <w:tcPr>
            <w:tcW w:w="6044" w:type="dxa"/>
          </w:tcPr>
          <w:p w14:paraId="3B648665" w14:textId="77777777" w:rsidR="006C4239" w:rsidRPr="00D51AE5" w:rsidRDefault="006C4239" w:rsidP="006C4239">
            <w:pPr>
              <w:pStyle w:val="ListParagraph"/>
              <w:numPr>
                <w:ilvl w:val="2"/>
                <w:numId w:val="39"/>
              </w:numPr>
              <w:ind w:left="1985" w:hanging="567"/>
              <w:jc w:val="both"/>
              <w:rPr>
                <w:rFonts w:eastAsia="Arial"/>
              </w:rPr>
            </w:pPr>
            <w:r w:rsidRPr="00D51AE5">
              <w:rPr>
                <w:b/>
                <w:bCs/>
              </w:rPr>
              <w:t>Multiple Resources in an Area</w:t>
            </w:r>
            <w:r w:rsidRPr="00D51AE5">
              <w:t xml:space="preserve">. If the AOI of the interested participant overlaps with the area of an existing energy service or operating contract or an application therefor as provided under Sections 5.6.2 and 5.6.3 of this Chapter, the interested participant may still pursue the </w:t>
            </w:r>
            <w:r w:rsidRPr="00D51AE5">
              <w:rPr>
                <w:iCs/>
              </w:rPr>
              <w:t>OESC</w:t>
            </w:r>
            <w:r w:rsidRPr="00D51AE5">
              <w:t xml:space="preserve"> Application, subject to the provisions herein below set forth:</w:t>
            </w:r>
          </w:p>
        </w:tc>
        <w:tc>
          <w:tcPr>
            <w:tcW w:w="3590" w:type="dxa"/>
          </w:tcPr>
          <w:p w14:paraId="1B71F8EB" w14:textId="77777777" w:rsidR="006C4239" w:rsidRPr="006A1E11" w:rsidRDefault="006C4239" w:rsidP="006A1E11">
            <w:pPr>
              <w:ind w:left="1980"/>
              <w:jc w:val="both"/>
              <w:rPr>
                <w:b/>
                <w:bCs/>
              </w:rPr>
            </w:pPr>
          </w:p>
        </w:tc>
        <w:tc>
          <w:tcPr>
            <w:tcW w:w="4267" w:type="dxa"/>
          </w:tcPr>
          <w:p w14:paraId="60DB6D75" w14:textId="77777777" w:rsidR="006C4239" w:rsidRPr="006A1E11" w:rsidRDefault="006C4239" w:rsidP="006A1E11">
            <w:pPr>
              <w:ind w:left="1980"/>
              <w:jc w:val="both"/>
              <w:rPr>
                <w:b/>
                <w:bCs/>
              </w:rPr>
            </w:pPr>
          </w:p>
        </w:tc>
      </w:tr>
      <w:tr w:rsidR="006C4239" w:rsidRPr="00D51AE5" w14:paraId="7C431FAC" w14:textId="31D439AE" w:rsidTr="007639A7">
        <w:tc>
          <w:tcPr>
            <w:tcW w:w="6044" w:type="dxa"/>
          </w:tcPr>
          <w:p w14:paraId="6E16D054" w14:textId="77777777" w:rsidR="006C4239" w:rsidRPr="00D51AE5" w:rsidRDefault="006C4239" w:rsidP="006C4239">
            <w:pPr>
              <w:pStyle w:val="ListParagraph"/>
              <w:numPr>
                <w:ilvl w:val="0"/>
                <w:numId w:val="40"/>
              </w:numPr>
              <w:ind w:left="3261"/>
              <w:jc w:val="both"/>
              <w:rPr>
                <w:rFonts w:eastAsia="Arial"/>
              </w:rPr>
            </w:pPr>
            <w:r w:rsidRPr="00D51AE5">
              <w:rPr>
                <w:rFonts w:eastAsia="Arial"/>
              </w:rPr>
              <w:t xml:space="preserve">The interested participant shall: </w:t>
            </w:r>
          </w:p>
        </w:tc>
        <w:tc>
          <w:tcPr>
            <w:tcW w:w="3590" w:type="dxa"/>
          </w:tcPr>
          <w:p w14:paraId="449E58A9" w14:textId="77777777" w:rsidR="006C4239" w:rsidRPr="006A1E11" w:rsidRDefault="006C4239" w:rsidP="006A1E11">
            <w:pPr>
              <w:ind w:left="360"/>
              <w:jc w:val="both"/>
              <w:rPr>
                <w:rFonts w:eastAsia="Arial"/>
              </w:rPr>
            </w:pPr>
          </w:p>
        </w:tc>
        <w:tc>
          <w:tcPr>
            <w:tcW w:w="4267" w:type="dxa"/>
          </w:tcPr>
          <w:p w14:paraId="35B5849B" w14:textId="77777777" w:rsidR="006C4239" w:rsidRPr="006A1E11" w:rsidRDefault="006C4239" w:rsidP="006A1E11">
            <w:pPr>
              <w:ind w:left="360"/>
              <w:jc w:val="both"/>
              <w:rPr>
                <w:rFonts w:eastAsia="Arial"/>
              </w:rPr>
            </w:pPr>
          </w:p>
        </w:tc>
      </w:tr>
      <w:tr w:rsidR="006C4239" w:rsidRPr="00D51AE5" w14:paraId="7793C990" w14:textId="65E36E2A" w:rsidTr="007639A7">
        <w:tc>
          <w:tcPr>
            <w:tcW w:w="6044" w:type="dxa"/>
          </w:tcPr>
          <w:p w14:paraId="3622FEC0" w14:textId="77777777" w:rsidR="006C4239" w:rsidRPr="00D51AE5" w:rsidRDefault="006C4239" w:rsidP="006C4239">
            <w:pPr>
              <w:pStyle w:val="ListParagraph"/>
              <w:numPr>
                <w:ilvl w:val="0"/>
                <w:numId w:val="41"/>
              </w:numPr>
              <w:ind w:left="3969"/>
              <w:jc w:val="both"/>
              <w:rPr>
                <w:rFonts w:eastAsia="Arial"/>
              </w:rPr>
            </w:pPr>
            <w:r w:rsidRPr="00D51AE5">
              <w:t>Explain in writing why the proposed ocean energy project will not be feasible without the overlapping area, duly supported by technical data, proposed project design, and other relevant information.</w:t>
            </w:r>
          </w:p>
        </w:tc>
        <w:tc>
          <w:tcPr>
            <w:tcW w:w="3590" w:type="dxa"/>
          </w:tcPr>
          <w:p w14:paraId="7DA0FCB3" w14:textId="77777777" w:rsidR="006C4239" w:rsidRPr="006A1E11" w:rsidRDefault="006C4239" w:rsidP="006A1E11">
            <w:pPr>
              <w:ind w:left="360"/>
              <w:jc w:val="both"/>
            </w:pPr>
          </w:p>
        </w:tc>
        <w:tc>
          <w:tcPr>
            <w:tcW w:w="4267" w:type="dxa"/>
          </w:tcPr>
          <w:p w14:paraId="6106365E" w14:textId="77777777" w:rsidR="006C4239" w:rsidRPr="006A1E11" w:rsidRDefault="006C4239" w:rsidP="006A1E11">
            <w:pPr>
              <w:ind w:left="360"/>
              <w:jc w:val="both"/>
            </w:pPr>
          </w:p>
        </w:tc>
      </w:tr>
      <w:tr w:rsidR="006C4239" w:rsidRPr="00D51AE5" w14:paraId="38DABBD8" w14:textId="799CBD34" w:rsidTr="007639A7">
        <w:tc>
          <w:tcPr>
            <w:tcW w:w="6044" w:type="dxa"/>
          </w:tcPr>
          <w:p w14:paraId="356683CA" w14:textId="77777777" w:rsidR="006C4239" w:rsidRPr="00D51AE5" w:rsidRDefault="006C4239" w:rsidP="006C4239">
            <w:pPr>
              <w:pStyle w:val="ListParagraph"/>
              <w:numPr>
                <w:ilvl w:val="0"/>
                <w:numId w:val="41"/>
              </w:numPr>
              <w:ind w:left="3969"/>
              <w:jc w:val="both"/>
              <w:rPr>
                <w:rFonts w:eastAsia="Arial"/>
              </w:rPr>
            </w:pPr>
            <w:r w:rsidRPr="00D51AE5">
              <w:t>Submit a notarized acknowledgment and undertaking that the interested participant recognizes and shall continue to recognize the prior rights of the existing applicants and/or developers of other energy resources within the overlapping area; that the design of the proposed ocean energy project will ensure safe and optimal development of ocean energy and other energy resources in the overlapping area; and that all costs needed therefor shall be borne by the interested participant.</w:t>
            </w:r>
            <w:r w:rsidRPr="00D51AE5">
              <w:rPr>
                <w:rFonts w:eastAsia="Arial"/>
              </w:rPr>
              <w:t xml:space="preserve"> </w:t>
            </w:r>
          </w:p>
        </w:tc>
        <w:tc>
          <w:tcPr>
            <w:tcW w:w="3590" w:type="dxa"/>
          </w:tcPr>
          <w:p w14:paraId="0C61F660" w14:textId="77777777" w:rsidR="006C4239" w:rsidRPr="006A1E11" w:rsidRDefault="006C4239" w:rsidP="006A1E11">
            <w:pPr>
              <w:ind w:left="360"/>
              <w:jc w:val="both"/>
            </w:pPr>
          </w:p>
        </w:tc>
        <w:tc>
          <w:tcPr>
            <w:tcW w:w="4267" w:type="dxa"/>
          </w:tcPr>
          <w:p w14:paraId="0D137957" w14:textId="77777777" w:rsidR="006C4239" w:rsidRPr="006A1E11" w:rsidRDefault="006C4239" w:rsidP="006A1E11">
            <w:pPr>
              <w:ind w:left="360"/>
              <w:jc w:val="both"/>
            </w:pPr>
          </w:p>
        </w:tc>
      </w:tr>
      <w:tr w:rsidR="006C4239" w:rsidRPr="00D51AE5" w14:paraId="36F31AE9" w14:textId="2F46F7EE" w:rsidTr="007639A7">
        <w:tc>
          <w:tcPr>
            <w:tcW w:w="6044" w:type="dxa"/>
          </w:tcPr>
          <w:p w14:paraId="2525D1EC" w14:textId="77777777" w:rsidR="006C4239" w:rsidRPr="00D51AE5" w:rsidRDefault="006C4239" w:rsidP="006C4239">
            <w:pPr>
              <w:pStyle w:val="ListParagraph"/>
              <w:numPr>
                <w:ilvl w:val="0"/>
                <w:numId w:val="40"/>
              </w:numPr>
              <w:ind w:left="3402" w:hanging="567"/>
              <w:jc w:val="both"/>
              <w:rPr>
                <w:rFonts w:eastAsia="Arial"/>
              </w:rPr>
            </w:pPr>
            <w:r w:rsidRPr="00D51AE5">
              <w:rPr>
                <w:rFonts w:eastAsia="Arial"/>
              </w:rPr>
              <w:t xml:space="preserve">HOEMD shall inform the applicant or energy contractor/developer on the intent to develop the </w:t>
            </w:r>
            <w:r w:rsidRPr="00D51AE5">
              <w:t>ocean energy</w:t>
            </w:r>
            <w:r w:rsidRPr="00D51AE5">
              <w:rPr>
                <w:rFonts w:eastAsia="Arial"/>
              </w:rPr>
              <w:t xml:space="preserve"> resources within the overlapping area. Copies of the interested participant’s LOI, the written explanation, and their supporting documents shall be furnished to the applicant or contractor/developer.</w:t>
            </w:r>
          </w:p>
        </w:tc>
        <w:tc>
          <w:tcPr>
            <w:tcW w:w="3590" w:type="dxa"/>
          </w:tcPr>
          <w:p w14:paraId="37DBFE43" w14:textId="77777777" w:rsidR="006C4239" w:rsidRPr="006A1E11" w:rsidRDefault="006C4239" w:rsidP="006A1E11">
            <w:pPr>
              <w:ind w:left="360"/>
              <w:jc w:val="both"/>
              <w:rPr>
                <w:rFonts w:eastAsia="Arial"/>
              </w:rPr>
            </w:pPr>
          </w:p>
        </w:tc>
        <w:tc>
          <w:tcPr>
            <w:tcW w:w="4267" w:type="dxa"/>
          </w:tcPr>
          <w:p w14:paraId="50A22AB2" w14:textId="77777777" w:rsidR="006C4239" w:rsidRPr="006A1E11" w:rsidRDefault="006C4239" w:rsidP="006A1E11">
            <w:pPr>
              <w:ind w:left="360"/>
              <w:jc w:val="both"/>
              <w:rPr>
                <w:rFonts w:eastAsia="Arial"/>
              </w:rPr>
            </w:pPr>
          </w:p>
        </w:tc>
      </w:tr>
      <w:tr w:rsidR="006C4239" w:rsidRPr="00D51AE5" w14:paraId="1D5FC91D" w14:textId="40004D56" w:rsidTr="007639A7">
        <w:tc>
          <w:tcPr>
            <w:tcW w:w="6044" w:type="dxa"/>
          </w:tcPr>
          <w:p w14:paraId="3D346051" w14:textId="77777777" w:rsidR="006C4239" w:rsidRPr="00D51AE5" w:rsidRDefault="006C4239" w:rsidP="006C4239">
            <w:pPr>
              <w:pStyle w:val="ListParagraph"/>
              <w:numPr>
                <w:ilvl w:val="0"/>
                <w:numId w:val="40"/>
              </w:numPr>
              <w:ind w:left="3402" w:hanging="567"/>
              <w:jc w:val="both"/>
              <w:rPr>
                <w:rFonts w:eastAsia="Arial"/>
              </w:rPr>
            </w:pPr>
            <w:r w:rsidRPr="00D51AE5">
              <w:rPr>
                <w:rFonts w:eastAsia="Arial"/>
              </w:rPr>
              <w:t xml:space="preserve">If no objection is received from the applicant or energy contractor/developer within the prescribed period, HOEMD shall upload </w:t>
            </w:r>
            <w:r w:rsidRPr="00D51AE5">
              <w:t xml:space="preserve">in the EVOSS System a Notice to Apply to the interested participant for the filing of the </w:t>
            </w:r>
            <w:r w:rsidRPr="00D51AE5">
              <w:rPr>
                <w:iCs/>
              </w:rPr>
              <w:t>OESC</w:t>
            </w:r>
            <w:r w:rsidRPr="00D51AE5">
              <w:t xml:space="preserve"> Application.</w:t>
            </w:r>
            <w:r w:rsidRPr="00D51AE5">
              <w:rPr>
                <w:rFonts w:eastAsia="Arial"/>
              </w:rPr>
              <w:t xml:space="preserve"> </w:t>
            </w:r>
          </w:p>
        </w:tc>
        <w:tc>
          <w:tcPr>
            <w:tcW w:w="3590" w:type="dxa"/>
          </w:tcPr>
          <w:p w14:paraId="1D5D5ADD" w14:textId="77777777" w:rsidR="006C4239" w:rsidRPr="006A1E11" w:rsidRDefault="006C4239" w:rsidP="006A1E11">
            <w:pPr>
              <w:ind w:left="360"/>
              <w:jc w:val="both"/>
              <w:rPr>
                <w:rFonts w:eastAsia="Arial"/>
              </w:rPr>
            </w:pPr>
          </w:p>
        </w:tc>
        <w:tc>
          <w:tcPr>
            <w:tcW w:w="4267" w:type="dxa"/>
          </w:tcPr>
          <w:p w14:paraId="66A3AD2A" w14:textId="77777777" w:rsidR="006C4239" w:rsidRPr="006A1E11" w:rsidRDefault="006C4239" w:rsidP="006A1E11">
            <w:pPr>
              <w:ind w:left="360"/>
              <w:jc w:val="both"/>
              <w:rPr>
                <w:rFonts w:eastAsia="Arial"/>
              </w:rPr>
            </w:pPr>
          </w:p>
        </w:tc>
      </w:tr>
      <w:tr w:rsidR="006C4239" w:rsidRPr="00D51AE5" w14:paraId="611C00F4" w14:textId="4DC81626" w:rsidTr="007639A7">
        <w:tc>
          <w:tcPr>
            <w:tcW w:w="6044" w:type="dxa"/>
          </w:tcPr>
          <w:p w14:paraId="65C56762" w14:textId="77777777" w:rsidR="006C4239" w:rsidRPr="00D51AE5" w:rsidRDefault="006C4239" w:rsidP="006C4239">
            <w:pPr>
              <w:pStyle w:val="ListParagraph"/>
              <w:numPr>
                <w:ilvl w:val="0"/>
                <w:numId w:val="40"/>
              </w:numPr>
              <w:ind w:left="3402" w:hanging="567"/>
              <w:jc w:val="both"/>
              <w:rPr>
                <w:rFonts w:eastAsia="Arial"/>
              </w:rPr>
            </w:pPr>
            <w:r w:rsidRPr="00D51AE5">
              <w:rPr>
                <w:rFonts w:eastAsia="Arial"/>
              </w:rPr>
              <w:t>If the applicant or energy contractor/developer objects to the proposal, the said applicant or energy contractor/developer shall notify HOEMD thereof within ten (10) days from receipt of notice, citing the impracticability of multiple resource development as to additional costs, safety, substantial decrease in the utilization of the energy resource, and other relevant factors. Copies of the written objection shall be furnished to the DOE Division processing the application or administering the energy project. A statement that multiple resource development in the overlapping area is impracticable without technical basis shall not be considered as an objection.</w:t>
            </w:r>
          </w:p>
        </w:tc>
        <w:tc>
          <w:tcPr>
            <w:tcW w:w="3590" w:type="dxa"/>
          </w:tcPr>
          <w:p w14:paraId="790680C8" w14:textId="77777777" w:rsidR="006C4239" w:rsidRPr="006A1E11" w:rsidRDefault="006C4239" w:rsidP="006A1E11">
            <w:pPr>
              <w:ind w:left="360"/>
              <w:jc w:val="both"/>
              <w:rPr>
                <w:rFonts w:eastAsia="Arial"/>
              </w:rPr>
            </w:pPr>
          </w:p>
        </w:tc>
        <w:tc>
          <w:tcPr>
            <w:tcW w:w="4267" w:type="dxa"/>
          </w:tcPr>
          <w:p w14:paraId="10069795" w14:textId="77777777" w:rsidR="006C4239" w:rsidRPr="006A1E11" w:rsidRDefault="006C4239" w:rsidP="006A1E11">
            <w:pPr>
              <w:ind w:left="360"/>
              <w:jc w:val="both"/>
              <w:rPr>
                <w:rFonts w:eastAsia="Arial"/>
              </w:rPr>
            </w:pPr>
          </w:p>
        </w:tc>
      </w:tr>
      <w:tr w:rsidR="006C4239" w:rsidRPr="00D51AE5" w14:paraId="590CD493" w14:textId="77D706A3" w:rsidTr="007639A7">
        <w:tc>
          <w:tcPr>
            <w:tcW w:w="6044" w:type="dxa"/>
          </w:tcPr>
          <w:p w14:paraId="7E9C9BAA" w14:textId="77777777" w:rsidR="006C4239" w:rsidRPr="00D51AE5" w:rsidRDefault="006C4239" w:rsidP="006C4239">
            <w:pPr>
              <w:pStyle w:val="ListParagraph"/>
              <w:numPr>
                <w:ilvl w:val="0"/>
                <w:numId w:val="40"/>
              </w:numPr>
              <w:ind w:left="3402" w:hanging="567"/>
              <w:jc w:val="both"/>
              <w:rPr>
                <w:rFonts w:eastAsia="Arial"/>
              </w:rPr>
            </w:pPr>
            <w:r w:rsidRPr="00D51AE5">
              <w:rPr>
                <w:rFonts w:eastAsia="Arial"/>
              </w:rPr>
              <w:t xml:space="preserve">Within five (5) days from receipt of an objection, HOEMD shall furnish the interested participant with a copy thereof. Within the same period, HOEMD and the concerned DOE Division shall jointly determine whether exploration of </w:t>
            </w:r>
            <w:r w:rsidRPr="00D51AE5">
              <w:t>ocean energy</w:t>
            </w:r>
            <w:r w:rsidRPr="00D51AE5">
              <w:rPr>
                <w:rFonts w:eastAsia="Arial"/>
              </w:rPr>
              <w:t xml:space="preserve"> resources within the overlapping area may be conducted without material adverse effect on the activities of the energy contractor/developer. Such determination shall consider the interested participant’s proposal, the objection and the technical bases cited therein. The evaluation shall be endorsed to the REMB Director. </w:t>
            </w:r>
          </w:p>
        </w:tc>
        <w:tc>
          <w:tcPr>
            <w:tcW w:w="3590" w:type="dxa"/>
          </w:tcPr>
          <w:p w14:paraId="0CA189EA" w14:textId="77777777" w:rsidR="006C4239" w:rsidRPr="006A1E11" w:rsidRDefault="006C4239" w:rsidP="006A1E11">
            <w:pPr>
              <w:ind w:left="360"/>
              <w:jc w:val="both"/>
              <w:rPr>
                <w:rFonts w:eastAsia="Arial"/>
              </w:rPr>
            </w:pPr>
          </w:p>
        </w:tc>
        <w:tc>
          <w:tcPr>
            <w:tcW w:w="4267" w:type="dxa"/>
          </w:tcPr>
          <w:p w14:paraId="0F2683BE" w14:textId="77777777" w:rsidR="006C4239" w:rsidRPr="006A1E11" w:rsidRDefault="006C4239" w:rsidP="006A1E11">
            <w:pPr>
              <w:ind w:left="360"/>
              <w:jc w:val="both"/>
              <w:rPr>
                <w:rFonts w:eastAsia="Arial"/>
              </w:rPr>
            </w:pPr>
          </w:p>
        </w:tc>
      </w:tr>
      <w:tr w:rsidR="006C4239" w:rsidRPr="00D51AE5" w14:paraId="2C5A6023" w14:textId="2E4C3EA3" w:rsidTr="007639A7">
        <w:tc>
          <w:tcPr>
            <w:tcW w:w="6044" w:type="dxa"/>
          </w:tcPr>
          <w:p w14:paraId="16F0BB9E" w14:textId="77777777" w:rsidR="006C4239" w:rsidRPr="00D51AE5" w:rsidRDefault="006C4239" w:rsidP="006C4239">
            <w:pPr>
              <w:pStyle w:val="ListParagraph"/>
              <w:numPr>
                <w:ilvl w:val="0"/>
                <w:numId w:val="40"/>
              </w:numPr>
              <w:ind w:left="3402" w:hanging="567"/>
              <w:jc w:val="both"/>
              <w:rPr>
                <w:rFonts w:eastAsia="Arial"/>
              </w:rPr>
            </w:pPr>
            <w:r w:rsidRPr="00D51AE5">
              <w:rPr>
                <w:rFonts w:eastAsia="Arial"/>
              </w:rPr>
              <w:t xml:space="preserve">Upon receipt of the endorsement, the REMB Director may issue a Notice to Apply if s/he concurs that the exploration will not cause material injury. The contract area of the </w:t>
            </w:r>
            <w:r w:rsidRPr="00D51AE5">
              <w:rPr>
                <w:iCs/>
              </w:rPr>
              <w:t>OESC</w:t>
            </w:r>
            <w:r w:rsidRPr="00D51AE5">
              <w:rPr>
                <w:rFonts w:eastAsia="Arial"/>
              </w:rPr>
              <w:t xml:space="preserve"> so awarded shall be finally determined by REMB during the Pre-Development Stage based on the feasibility of multiple resource development in the overlapping area.</w:t>
            </w:r>
          </w:p>
        </w:tc>
        <w:tc>
          <w:tcPr>
            <w:tcW w:w="3590" w:type="dxa"/>
          </w:tcPr>
          <w:p w14:paraId="720C15AD" w14:textId="77777777" w:rsidR="006C4239" w:rsidRPr="006A1E11" w:rsidRDefault="006C4239" w:rsidP="006A1E11">
            <w:pPr>
              <w:ind w:left="360"/>
              <w:jc w:val="both"/>
              <w:rPr>
                <w:rFonts w:eastAsia="Arial"/>
              </w:rPr>
            </w:pPr>
          </w:p>
        </w:tc>
        <w:tc>
          <w:tcPr>
            <w:tcW w:w="4267" w:type="dxa"/>
          </w:tcPr>
          <w:p w14:paraId="3E0BCF87" w14:textId="77777777" w:rsidR="006C4239" w:rsidRPr="006A1E11" w:rsidRDefault="006C4239" w:rsidP="006A1E11">
            <w:pPr>
              <w:ind w:left="360"/>
              <w:jc w:val="both"/>
              <w:rPr>
                <w:rFonts w:eastAsia="Arial"/>
              </w:rPr>
            </w:pPr>
          </w:p>
        </w:tc>
      </w:tr>
      <w:tr w:rsidR="006C4239" w:rsidRPr="00D51AE5" w14:paraId="368933A5" w14:textId="07349C05" w:rsidTr="007639A7">
        <w:tc>
          <w:tcPr>
            <w:tcW w:w="6044" w:type="dxa"/>
          </w:tcPr>
          <w:p w14:paraId="63A7C6F9"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 xml:space="preserve">5.7.3. </w:t>
            </w:r>
            <w:r w:rsidRPr="00D51AE5">
              <w:rPr>
                <w:rFonts w:ascii="Arial" w:hAnsi="Arial" w:cs="Arial"/>
                <w:lang w:val="en-US"/>
              </w:rPr>
              <w:tab/>
            </w:r>
            <w:r w:rsidRPr="00D51AE5">
              <w:rPr>
                <w:rFonts w:ascii="Arial" w:hAnsi="Arial" w:cs="Arial"/>
                <w:b/>
                <w:bCs/>
                <w:lang w:val="en-US"/>
              </w:rPr>
              <w:t xml:space="preserve">Other Areas. </w:t>
            </w:r>
            <w:r w:rsidRPr="00D51AE5">
              <w:rPr>
                <w:rFonts w:ascii="Arial" w:hAnsi="Arial" w:cs="Arial"/>
                <w:lang w:val="en-US"/>
              </w:rPr>
              <w:t>If the AOI of the interested participant overlaps with the area as provided under Section 5.6.4 of this Chapter, the interested participant may still pursue the OESC Application if there is no material adverse effect on the feasibility of the proposed ocean energy project after applying the provisions herein below set forth:</w:t>
            </w:r>
          </w:p>
        </w:tc>
        <w:tc>
          <w:tcPr>
            <w:tcW w:w="3590" w:type="dxa"/>
          </w:tcPr>
          <w:p w14:paraId="6FCFF2B1" w14:textId="77777777" w:rsidR="006C4239" w:rsidRPr="006A1E11" w:rsidRDefault="006C4239" w:rsidP="006A1E11">
            <w:pPr>
              <w:ind w:left="360"/>
              <w:jc w:val="both"/>
            </w:pPr>
          </w:p>
        </w:tc>
        <w:tc>
          <w:tcPr>
            <w:tcW w:w="4267" w:type="dxa"/>
          </w:tcPr>
          <w:p w14:paraId="08522990" w14:textId="77777777" w:rsidR="006C4239" w:rsidRPr="006A1E11" w:rsidRDefault="006C4239" w:rsidP="006A1E11">
            <w:pPr>
              <w:ind w:left="360"/>
              <w:jc w:val="both"/>
            </w:pPr>
          </w:p>
        </w:tc>
      </w:tr>
      <w:tr w:rsidR="006C4239" w:rsidRPr="00D51AE5" w14:paraId="11DACA6E" w14:textId="34386E2D" w:rsidTr="007639A7">
        <w:tc>
          <w:tcPr>
            <w:tcW w:w="6044" w:type="dxa"/>
          </w:tcPr>
          <w:p w14:paraId="4C486F18" w14:textId="77777777" w:rsidR="006C4239" w:rsidRPr="00D51AE5" w:rsidRDefault="006C4239" w:rsidP="006C4239">
            <w:pPr>
              <w:numPr>
                <w:ilvl w:val="3"/>
                <w:numId w:val="1"/>
              </w:numPr>
              <w:ind w:left="3402" w:hanging="567"/>
              <w:contextualSpacing/>
              <w:jc w:val="both"/>
              <w:rPr>
                <w:rFonts w:ascii="Arial" w:hAnsi="Arial" w:cs="Arial"/>
                <w:lang w:val="en-US"/>
              </w:rPr>
            </w:pPr>
            <w:r w:rsidRPr="00D51AE5">
              <w:rPr>
                <w:rFonts w:ascii="Arial" w:hAnsi="Arial" w:cs="Arial"/>
                <w:lang w:val="en-US"/>
              </w:rPr>
              <w:t>If the AOI overlaps with areas within strict protection zones under the ENIPAS, the interested participant shall submit a revised AOI net of the said areas.</w:t>
            </w:r>
          </w:p>
        </w:tc>
        <w:tc>
          <w:tcPr>
            <w:tcW w:w="3590" w:type="dxa"/>
          </w:tcPr>
          <w:p w14:paraId="67BA0A50" w14:textId="77777777" w:rsidR="006C4239" w:rsidRPr="00D51AE5" w:rsidRDefault="006C4239" w:rsidP="006A1E11">
            <w:pPr>
              <w:ind w:left="2520"/>
              <w:contextualSpacing/>
              <w:jc w:val="both"/>
              <w:rPr>
                <w:rFonts w:ascii="Arial" w:hAnsi="Arial" w:cs="Arial"/>
                <w:lang w:val="en-US"/>
              </w:rPr>
            </w:pPr>
          </w:p>
        </w:tc>
        <w:tc>
          <w:tcPr>
            <w:tcW w:w="4267" w:type="dxa"/>
          </w:tcPr>
          <w:p w14:paraId="73E774A2" w14:textId="77777777" w:rsidR="006C4239" w:rsidRPr="00D51AE5" w:rsidRDefault="006C4239" w:rsidP="006A1E11">
            <w:pPr>
              <w:ind w:left="2520"/>
              <w:contextualSpacing/>
              <w:jc w:val="both"/>
              <w:rPr>
                <w:rFonts w:ascii="Arial" w:hAnsi="Arial" w:cs="Arial"/>
                <w:lang w:val="en-US"/>
              </w:rPr>
            </w:pPr>
          </w:p>
        </w:tc>
      </w:tr>
      <w:tr w:rsidR="006C4239" w:rsidRPr="00D51AE5" w14:paraId="49A2D06E" w14:textId="65549378" w:rsidTr="007639A7">
        <w:tc>
          <w:tcPr>
            <w:tcW w:w="6044" w:type="dxa"/>
          </w:tcPr>
          <w:p w14:paraId="79082C92" w14:textId="77777777" w:rsidR="006C4239" w:rsidRPr="00D51AE5" w:rsidRDefault="006C4239" w:rsidP="006C4239">
            <w:pPr>
              <w:numPr>
                <w:ilvl w:val="3"/>
                <w:numId w:val="1"/>
              </w:numPr>
              <w:ind w:left="3402" w:hanging="567"/>
              <w:contextualSpacing/>
              <w:jc w:val="both"/>
              <w:rPr>
                <w:rFonts w:ascii="Arial" w:hAnsi="Arial" w:cs="Arial"/>
                <w:lang w:val="en-US"/>
              </w:rPr>
            </w:pPr>
            <w:r w:rsidRPr="00D51AE5">
              <w:rPr>
                <w:rFonts w:ascii="Arial" w:hAnsi="Arial" w:cs="Arial"/>
                <w:lang w:val="en-US"/>
              </w:rPr>
              <w:t>If the AOI overlaps with areas outside strict protection zones under the ENIPAS, the REMB Director shall issue a Notice to Apply for the said AOI; Provided, that the contract area may be reduced shall be subject to the ENIPAS and its implementing rules and regulations.</w:t>
            </w:r>
          </w:p>
        </w:tc>
        <w:tc>
          <w:tcPr>
            <w:tcW w:w="3590" w:type="dxa"/>
          </w:tcPr>
          <w:p w14:paraId="235D72A3" w14:textId="77777777" w:rsidR="006C4239" w:rsidRPr="00D51AE5" w:rsidRDefault="006C4239" w:rsidP="006A1E11">
            <w:pPr>
              <w:ind w:left="2520"/>
              <w:contextualSpacing/>
              <w:jc w:val="both"/>
              <w:rPr>
                <w:rFonts w:ascii="Arial" w:hAnsi="Arial" w:cs="Arial"/>
                <w:lang w:val="en-US"/>
              </w:rPr>
            </w:pPr>
          </w:p>
        </w:tc>
        <w:tc>
          <w:tcPr>
            <w:tcW w:w="4267" w:type="dxa"/>
          </w:tcPr>
          <w:p w14:paraId="78AA57B4" w14:textId="77777777" w:rsidR="006C4239" w:rsidRPr="00D51AE5" w:rsidRDefault="006C4239" w:rsidP="006A1E11">
            <w:pPr>
              <w:ind w:left="2520"/>
              <w:contextualSpacing/>
              <w:jc w:val="both"/>
              <w:rPr>
                <w:rFonts w:ascii="Arial" w:hAnsi="Arial" w:cs="Arial"/>
                <w:lang w:val="en-US"/>
              </w:rPr>
            </w:pPr>
          </w:p>
        </w:tc>
      </w:tr>
      <w:tr w:rsidR="006C4239" w:rsidRPr="00D51AE5" w14:paraId="6E9F0437" w14:textId="1223C956" w:rsidTr="007639A7">
        <w:tc>
          <w:tcPr>
            <w:tcW w:w="6044" w:type="dxa"/>
          </w:tcPr>
          <w:p w14:paraId="11546B24" w14:textId="77777777" w:rsidR="006C4239" w:rsidRPr="00D51AE5" w:rsidRDefault="006C4239" w:rsidP="006C4239">
            <w:pPr>
              <w:numPr>
                <w:ilvl w:val="3"/>
                <w:numId w:val="1"/>
              </w:numPr>
              <w:ind w:left="3402" w:hanging="567"/>
              <w:contextualSpacing/>
              <w:jc w:val="both"/>
              <w:rPr>
                <w:rFonts w:ascii="Arial" w:hAnsi="Arial" w:cs="Arial"/>
                <w:lang w:val="en-US"/>
              </w:rPr>
            </w:pPr>
            <w:r w:rsidRPr="00D51AE5">
              <w:rPr>
                <w:rFonts w:ascii="Arial" w:hAnsi="Arial" w:cs="Arial"/>
                <w:lang w:val="en-US"/>
              </w:rPr>
              <w:t>If the AOI overlaps with ancestral domains with Certificate of Ancestral Domain Title or Claim, the REMB Director shall issue a Notice to Apply for the said AOI; Provided, that the contract area may be reduced subject to RA No. 8371 or “The Indigenous Peoples Rights Act of 1997” and its implementing rules and regulations.</w:t>
            </w:r>
          </w:p>
        </w:tc>
        <w:tc>
          <w:tcPr>
            <w:tcW w:w="3590" w:type="dxa"/>
          </w:tcPr>
          <w:p w14:paraId="20530E29" w14:textId="77777777" w:rsidR="006C4239" w:rsidRPr="00D51AE5" w:rsidRDefault="006C4239" w:rsidP="006A1E11">
            <w:pPr>
              <w:ind w:left="2520"/>
              <w:contextualSpacing/>
              <w:jc w:val="both"/>
              <w:rPr>
                <w:rFonts w:ascii="Arial" w:hAnsi="Arial" w:cs="Arial"/>
                <w:lang w:val="en-US"/>
              </w:rPr>
            </w:pPr>
          </w:p>
        </w:tc>
        <w:tc>
          <w:tcPr>
            <w:tcW w:w="4267" w:type="dxa"/>
          </w:tcPr>
          <w:p w14:paraId="01EFACF5" w14:textId="77777777" w:rsidR="006C4239" w:rsidRPr="00D51AE5" w:rsidRDefault="006C4239" w:rsidP="006A1E11">
            <w:pPr>
              <w:ind w:left="2520"/>
              <w:contextualSpacing/>
              <w:jc w:val="both"/>
              <w:rPr>
                <w:rFonts w:ascii="Arial" w:hAnsi="Arial" w:cs="Arial"/>
                <w:lang w:val="en-US"/>
              </w:rPr>
            </w:pPr>
          </w:p>
        </w:tc>
      </w:tr>
      <w:tr w:rsidR="006C4239" w:rsidRPr="00D51AE5" w14:paraId="1FB5BB05" w14:textId="2C569A48" w:rsidTr="007639A7">
        <w:tc>
          <w:tcPr>
            <w:tcW w:w="6044" w:type="dxa"/>
          </w:tcPr>
          <w:p w14:paraId="4E90AFD1" w14:textId="77777777" w:rsidR="006C4239" w:rsidRPr="00D51AE5" w:rsidRDefault="006C4239" w:rsidP="006C4239">
            <w:pPr>
              <w:numPr>
                <w:ilvl w:val="3"/>
                <w:numId w:val="1"/>
              </w:numPr>
              <w:ind w:left="3402" w:hanging="567"/>
              <w:contextualSpacing/>
              <w:jc w:val="both"/>
              <w:rPr>
                <w:rFonts w:ascii="Arial" w:hAnsi="Arial" w:cs="Arial"/>
                <w:lang w:val="en-US"/>
              </w:rPr>
            </w:pPr>
            <w:r w:rsidRPr="00D51AE5">
              <w:rPr>
                <w:rFonts w:ascii="Arial" w:hAnsi="Arial" w:cs="Arial"/>
                <w:lang w:val="en-US"/>
              </w:rPr>
              <w:t>If the AOI overlaps with areas with Tenurial Instruments from other government agencies, the REMB Director shall issue a Notice to Apply for the said AOI; Provided, that the contract area may be reduced subject to the relevant rules and regulations of the concerned government agency.</w:t>
            </w:r>
          </w:p>
        </w:tc>
        <w:tc>
          <w:tcPr>
            <w:tcW w:w="3590" w:type="dxa"/>
          </w:tcPr>
          <w:p w14:paraId="0C334BDF" w14:textId="77777777" w:rsidR="006C4239" w:rsidRPr="00D51AE5" w:rsidRDefault="006C4239" w:rsidP="006A1E11">
            <w:pPr>
              <w:ind w:left="2520"/>
              <w:contextualSpacing/>
              <w:jc w:val="both"/>
              <w:rPr>
                <w:rFonts w:ascii="Arial" w:hAnsi="Arial" w:cs="Arial"/>
                <w:lang w:val="en-US"/>
              </w:rPr>
            </w:pPr>
          </w:p>
        </w:tc>
        <w:tc>
          <w:tcPr>
            <w:tcW w:w="4267" w:type="dxa"/>
          </w:tcPr>
          <w:p w14:paraId="11699314" w14:textId="77777777" w:rsidR="006C4239" w:rsidRPr="00D51AE5" w:rsidRDefault="006C4239" w:rsidP="006A1E11">
            <w:pPr>
              <w:ind w:left="2520"/>
              <w:contextualSpacing/>
              <w:jc w:val="both"/>
              <w:rPr>
                <w:rFonts w:ascii="Arial" w:hAnsi="Arial" w:cs="Arial"/>
                <w:lang w:val="en-US"/>
              </w:rPr>
            </w:pPr>
          </w:p>
        </w:tc>
      </w:tr>
      <w:tr w:rsidR="006C4239" w:rsidRPr="00D51AE5" w14:paraId="728BD843" w14:textId="4402B432" w:rsidTr="007639A7">
        <w:tc>
          <w:tcPr>
            <w:tcW w:w="6044" w:type="dxa"/>
          </w:tcPr>
          <w:p w14:paraId="38676B4A" w14:textId="77777777" w:rsidR="006C4239" w:rsidRPr="00D51AE5" w:rsidRDefault="006C4239" w:rsidP="006C4239">
            <w:pPr>
              <w:numPr>
                <w:ilvl w:val="3"/>
                <w:numId w:val="1"/>
              </w:numPr>
              <w:ind w:left="3402" w:hanging="567"/>
              <w:contextualSpacing/>
              <w:jc w:val="both"/>
              <w:rPr>
                <w:rFonts w:ascii="Arial" w:hAnsi="Arial" w:cs="Arial"/>
                <w:lang w:val="en-US"/>
              </w:rPr>
            </w:pPr>
            <w:r w:rsidRPr="00D51AE5">
              <w:rPr>
                <w:rFonts w:ascii="Arial" w:hAnsi="Arial" w:cs="Arial"/>
                <w:lang w:val="en-US"/>
              </w:rPr>
              <w:t>If the AOI overlaps with areas prohibited, reserved, or used for national defense, navigation, irrigation, and other development projects, and other areas, the REMB Director shall issue a Notice to Apply for the said AOI; Provided, that the contract area may be reduced subject to the relevant rules and regulations of the concerned government agency.</w:t>
            </w:r>
          </w:p>
        </w:tc>
        <w:tc>
          <w:tcPr>
            <w:tcW w:w="3590" w:type="dxa"/>
          </w:tcPr>
          <w:p w14:paraId="75D7C0A7" w14:textId="77777777" w:rsidR="006C4239" w:rsidRPr="00D51AE5" w:rsidRDefault="006C4239" w:rsidP="006A1E11">
            <w:pPr>
              <w:ind w:left="2520"/>
              <w:contextualSpacing/>
              <w:jc w:val="both"/>
              <w:rPr>
                <w:rFonts w:ascii="Arial" w:hAnsi="Arial" w:cs="Arial"/>
                <w:lang w:val="en-US"/>
              </w:rPr>
            </w:pPr>
          </w:p>
        </w:tc>
        <w:tc>
          <w:tcPr>
            <w:tcW w:w="4267" w:type="dxa"/>
          </w:tcPr>
          <w:p w14:paraId="36C7A992" w14:textId="77777777" w:rsidR="006C4239" w:rsidRPr="00D51AE5" w:rsidRDefault="006C4239" w:rsidP="006A1E11">
            <w:pPr>
              <w:ind w:left="2520"/>
              <w:contextualSpacing/>
              <w:jc w:val="both"/>
              <w:rPr>
                <w:rFonts w:ascii="Arial" w:hAnsi="Arial" w:cs="Arial"/>
                <w:lang w:val="en-US"/>
              </w:rPr>
            </w:pPr>
          </w:p>
        </w:tc>
      </w:tr>
      <w:tr w:rsidR="006C4239" w:rsidRPr="00D51AE5" w14:paraId="044F1BAC" w14:textId="03C6BD69" w:rsidTr="007639A7">
        <w:tc>
          <w:tcPr>
            <w:tcW w:w="6044" w:type="dxa"/>
          </w:tcPr>
          <w:p w14:paraId="26A78968" w14:textId="77777777" w:rsidR="006C4239" w:rsidRPr="00D51AE5" w:rsidRDefault="006C4239" w:rsidP="006C4239">
            <w:pPr>
              <w:jc w:val="both"/>
              <w:rPr>
                <w:rFonts w:ascii="Arial" w:hAnsi="Arial" w:cs="Arial"/>
                <w:b/>
                <w:bCs/>
                <w:i/>
                <w:iCs/>
                <w:spacing w:val="-2"/>
                <w:lang w:val="en-US"/>
              </w:rPr>
            </w:pPr>
            <w:r w:rsidRPr="00D51AE5">
              <w:rPr>
                <w:rFonts w:ascii="Arial" w:hAnsi="Arial" w:cs="Arial"/>
                <w:b/>
                <w:bCs/>
                <w:i/>
                <w:iCs/>
                <w:lang w:val="en-US"/>
              </w:rPr>
              <w:t>Part</w:t>
            </w:r>
            <w:r w:rsidRPr="00D51AE5">
              <w:rPr>
                <w:rFonts w:ascii="Arial" w:hAnsi="Arial" w:cs="Arial"/>
                <w:b/>
                <w:bCs/>
                <w:i/>
                <w:iCs/>
                <w:spacing w:val="-2"/>
                <w:lang w:val="en-US"/>
              </w:rPr>
              <w:t xml:space="preserve"> </w:t>
            </w:r>
            <w:r w:rsidRPr="00D51AE5">
              <w:rPr>
                <w:rFonts w:ascii="Arial" w:hAnsi="Arial" w:cs="Arial"/>
                <w:b/>
                <w:bCs/>
                <w:i/>
                <w:iCs/>
                <w:lang w:val="en-US"/>
              </w:rPr>
              <w:t>3.</w:t>
            </w:r>
            <w:r w:rsidRPr="00D51AE5">
              <w:rPr>
                <w:rFonts w:ascii="Arial" w:hAnsi="Arial" w:cs="Arial"/>
                <w:b/>
                <w:bCs/>
                <w:i/>
                <w:iCs/>
                <w:spacing w:val="-2"/>
                <w:lang w:val="en-US"/>
              </w:rPr>
              <w:t xml:space="preserve"> </w:t>
            </w:r>
            <w:r w:rsidRPr="00D51AE5">
              <w:rPr>
                <w:rFonts w:ascii="Arial" w:hAnsi="Arial" w:cs="Arial"/>
                <w:b/>
                <w:bCs/>
                <w:i/>
                <w:iCs/>
                <w:lang w:val="en-US"/>
              </w:rPr>
              <w:t>Filing</w:t>
            </w:r>
            <w:r w:rsidRPr="00D51AE5">
              <w:rPr>
                <w:rFonts w:ascii="Arial" w:hAnsi="Arial" w:cs="Arial"/>
                <w:b/>
                <w:bCs/>
                <w:i/>
                <w:iCs/>
                <w:spacing w:val="-1"/>
                <w:lang w:val="en-US"/>
              </w:rPr>
              <w:t xml:space="preserve"> </w:t>
            </w:r>
            <w:r w:rsidRPr="00D51AE5">
              <w:rPr>
                <w:rFonts w:ascii="Arial" w:hAnsi="Arial" w:cs="Arial"/>
                <w:b/>
                <w:bCs/>
                <w:i/>
                <w:iCs/>
                <w:lang w:val="en-US"/>
              </w:rPr>
              <w:t>and</w:t>
            </w:r>
            <w:r w:rsidRPr="00D51AE5">
              <w:rPr>
                <w:rFonts w:ascii="Arial" w:hAnsi="Arial" w:cs="Arial"/>
                <w:b/>
                <w:bCs/>
                <w:i/>
                <w:iCs/>
                <w:spacing w:val="-1"/>
                <w:lang w:val="en-US"/>
              </w:rPr>
              <w:t xml:space="preserve"> </w:t>
            </w:r>
            <w:r w:rsidRPr="00D51AE5">
              <w:rPr>
                <w:rFonts w:ascii="Arial" w:hAnsi="Arial" w:cs="Arial"/>
                <w:b/>
                <w:bCs/>
                <w:i/>
                <w:iCs/>
                <w:lang w:val="en-US"/>
              </w:rPr>
              <w:t>Evaluation</w:t>
            </w:r>
            <w:r w:rsidRPr="00D51AE5">
              <w:rPr>
                <w:rFonts w:ascii="Arial" w:hAnsi="Arial" w:cs="Arial"/>
                <w:b/>
                <w:bCs/>
                <w:i/>
                <w:iCs/>
                <w:spacing w:val="-1"/>
                <w:lang w:val="en-US"/>
              </w:rPr>
              <w:t xml:space="preserve"> </w:t>
            </w:r>
            <w:r w:rsidRPr="00D51AE5">
              <w:rPr>
                <w:rFonts w:ascii="Arial" w:hAnsi="Arial" w:cs="Arial"/>
                <w:b/>
                <w:bCs/>
                <w:i/>
                <w:iCs/>
                <w:lang w:val="en-US"/>
              </w:rPr>
              <w:t>of</w:t>
            </w:r>
            <w:r w:rsidRPr="00D51AE5">
              <w:rPr>
                <w:rFonts w:ascii="Arial" w:hAnsi="Arial" w:cs="Arial"/>
                <w:b/>
                <w:bCs/>
                <w:i/>
                <w:iCs/>
                <w:spacing w:val="-6"/>
                <w:lang w:val="en-US"/>
              </w:rPr>
              <w:t xml:space="preserve"> </w:t>
            </w:r>
            <w:r w:rsidRPr="00D51AE5">
              <w:rPr>
                <w:rFonts w:ascii="Arial" w:hAnsi="Arial" w:cs="Arial"/>
                <w:b/>
                <w:bCs/>
                <w:i/>
                <w:iCs/>
                <w:lang w:val="en-US"/>
              </w:rPr>
              <w:t>Ocean Energy Service Contract</w:t>
            </w:r>
            <w:r w:rsidRPr="00D51AE5">
              <w:rPr>
                <w:rFonts w:ascii="Arial" w:hAnsi="Arial" w:cs="Arial"/>
                <w:b/>
                <w:bCs/>
                <w:i/>
                <w:iCs/>
                <w:spacing w:val="-6"/>
                <w:lang w:val="en-US"/>
              </w:rPr>
              <w:t xml:space="preserve"> </w:t>
            </w:r>
            <w:r w:rsidRPr="00D51AE5">
              <w:rPr>
                <w:rFonts w:ascii="Arial" w:hAnsi="Arial" w:cs="Arial"/>
                <w:b/>
                <w:bCs/>
                <w:i/>
                <w:iCs/>
                <w:spacing w:val="-2"/>
                <w:lang w:val="en-US"/>
              </w:rPr>
              <w:t>Applications</w:t>
            </w:r>
          </w:p>
        </w:tc>
        <w:tc>
          <w:tcPr>
            <w:tcW w:w="3590" w:type="dxa"/>
          </w:tcPr>
          <w:p w14:paraId="1B61407A" w14:textId="77777777" w:rsidR="006C4239" w:rsidRPr="006A1E11" w:rsidRDefault="006C4239" w:rsidP="006A1E11">
            <w:pPr>
              <w:ind w:left="360"/>
              <w:jc w:val="both"/>
              <w:rPr>
                <w:b/>
                <w:bCs/>
                <w:i/>
                <w:iCs/>
              </w:rPr>
            </w:pPr>
          </w:p>
        </w:tc>
        <w:tc>
          <w:tcPr>
            <w:tcW w:w="4267" w:type="dxa"/>
          </w:tcPr>
          <w:p w14:paraId="7A5D06C9" w14:textId="77777777" w:rsidR="006C4239" w:rsidRPr="006A1E11" w:rsidRDefault="006C4239" w:rsidP="006A1E11">
            <w:pPr>
              <w:ind w:left="360"/>
              <w:jc w:val="both"/>
              <w:rPr>
                <w:b/>
                <w:bCs/>
                <w:i/>
                <w:iCs/>
              </w:rPr>
            </w:pPr>
          </w:p>
        </w:tc>
      </w:tr>
      <w:tr w:rsidR="006C4239" w:rsidRPr="00D51AE5" w14:paraId="2F5217A2" w14:textId="67F9605B" w:rsidTr="007639A7">
        <w:tc>
          <w:tcPr>
            <w:tcW w:w="6044" w:type="dxa"/>
          </w:tcPr>
          <w:p w14:paraId="559E272F"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5.8.</w:t>
            </w:r>
            <w:r w:rsidRPr="00D51AE5">
              <w:rPr>
                <w:rFonts w:ascii="Arial" w:hAnsi="Arial" w:cs="Arial"/>
                <w:lang w:val="en-US"/>
              </w:rPr>
              <w:tab/>
            </w:r>
            <w:r w:rsidRPr="00D51AE5">
              <w:rPr>
                <w:rFonts w:ascii="Arial" w:hAnsi="Arial" w:cs="Arial"/>
                <w:b/>
                <w:bCs/>
                <w:lang w:val="en-US"/>
              </w:rPr>
              <w:t xml:space="preserve">Receipt of Ocean Energy Service Contract Applications. </w:t>
            </w:r>
            <w:r w:rsidRPr="00D51AE5">
              <w:rPr>
                <w:rFonts w:ascii="Arial" w:hAnsi="Arial" w:cs="Arial"/>
                <w:lang w:val="en-US"/>
              </w:rPr>
              <w:t xml:space="preserve">After the Notice to Apply is uploaded in the EVOSS System, the interested participant may file its </w:t>
            </w:r>
            <w:r w:rsidRPr="00D51AE5">
              <w:rPr>
                <w:rFonts w:ascii="Arial" w:hAnsi="Arial" w:cs="Arial"/>
                <w:iCs/>
                <w:lang w:val="en-US"/>
              </w:rPr>
              <w:t>OESC</w:t>
            </w:r>
            <w:r w:rsidRPr="00D51AE5">
              <w:rPr>
                <w:rFonts w:ascii="Arial" w:hAnsi="Arial" w:cs="Arial"/>
                <w:lang w:val="en-US"/>
              </w:rPr>
              <w:t xml:space="preserve"> Application by complying with the procedures and requirements, as follows:</w:t>
            </w:r>
          </w:p>
        </w:tc>
        <w:tc>
          <w:tcPr>
            <w:tcW w:w="3590" w:type="dxa"/>
          </w:tcPr>
          <w:p w14:paraId="12C21B30" w14:textId="77777777" w:rsidR="006C4239" w:rsidRPr="006A1E11" w:rsidRDefault="006C4239" w:rsidP="006A1E11">
            <w:pPr>
              <w:ind w:left="360"/>
              <w:jc w:val="both"/>
            </w:pPr>
          </w:p>
        </w:tc>
        <w:tc>
          <w:tcPr>
            <w:tcW w:w="4267" w:type="dxa"/>
          </w:tcPr>
          <w:p w14:paraId="64F27579" w14:textId="77777777" w:rsidR="006C4239" w:rsidRPr="006A1E11" w:rsidRDefault="006C4239" w:rsidP="006A1E11">
            <w:pPr>
              <w:ind w:left="360"/>
              <w:jc w:val="both"/>
            </w:pPr>
          </w:p>
        </w:tc>
      </w:tr>
      <w:tr w:rsidR="006C4239" w:rsidRPr="00D51AE5" w14:paraId="53B119BE" w14:textId="6192550D" w:rsidTr="007639A7">
        <w:tc>
          <w:tcPr>
            <w:tcW w:w="6044" w:type="dxa"/>
          </w:tcPr>
          <w:p w14:paraId="48C8A00E" w14:textId="77777777" w:rsidR="006C4239" w:rsidRPr="00D51AE5" w:rsidRDefault="006C4239" w:rsidP="006C4239">
            <w:pPr>
              <w:pStyle w:val="ListParagraph"/>
              <w:numPr>
                <w:ilvl w:val="2"/>
                <w:numId w:val="42"/>
              </w:numPr>
              <w:ind w:left="1985" w:hanging="567"/>
              <w:jc w:val="both"/>
            </w:pPr>
            <w:r w:rsidRPr="00D51AE5">
              <w:t xml:space="preserve">The </w:t>
            </w:r>
            <w:r w:rsidRPr="00D51AE5">
              <w:rPr>
                <w:iCs/>
              </w:rPr>
              <w:t>OESC</w:t>
            </w:r>
            <w:r w:rsidRPr="00D51AE5">
              <w:t xml:space="preserve"> Applicant shall submit through the EVOSS System </w:t>
            </w:r>
            <w:r w:rsidRPr="00D51AE5">
              <w:rPr>
                <w:rFonts w:eastAsia="Arial"/>
              </w:rPr>
              <w:t>the complete set of documentary requirements based on the Checklist of Requirements (Annex I).</w:t>
            </w:r>
          </w:p>
        </w:tc>
        <w:tc>
          <w:tcPr>
            <w:tcW w:w="3590" w:type="dxa"/>
          </w:tcPr>
          <w:p w14:paraId="00211E4D" w14:textId="77777777" w:rsidR="006C4239" w:rsidRPr="006A1E11" w:rsidRDefault="006C4239" w:rsidP="006A1E11">
            <w:pPr>
              <w:ind w:left="1980"/>
              <w:jc w:val="both"/>
            </w:pPr>
          </w:p>
        </w:tc>
        <w:tc>
          <w:tcPr>
            <w:tcW w:w="4267" w:type="dxa"/>
          </w:tcPr>
          <w:p w14:paraId="45D5AEC3" w14:textId="77777777" w:rsidR="006C4239" w:rsidRPr="006A1E11" w:rsidRDefault="006C4239" w:rsidP="006A1E11">
            <w:pPr>
              <w:ind w:left="1980"/>
              <w:jc w:val="both"/>
            </w:pPr>
          </w:p>
        </w:tc>
      </w:tr>
      <w:tr w:rsidR="006C4239" w:rsidRPr="00D51AE5" w14:paraId="19CEABC4" w14:textId="0E01B49B" w:rsidTr="007639A7">
        <w:tc>
          <w:tcPr>
            <w:tcW w:w="6044" w:type="dxa"/>
          </w:tcPr>
          <w:p w14:paraId="30E344AF" w14:textId="77777777" w:rsidR="006C4239" w:rsidRPr="00D51AE5" w:rsidRDefault="006C4239" w:rsidP="006C4239">
            <w:pPr>
              <w:spacing w:line="276" w:lineRule="auto"/>
              <w:jc w:val="both"/>
              <w:rPr>
                <w:rFonts w:ascii="Arial" w:eastAsia="Arial" w:hAnsi="Arial" w:cs="Arial"/>
                <w:lang w:val="en-US"/>
              </w:rPr>
            </w:pPr>
            <w:r w:rsidRPr="00D51AE5">
              <w:rPr>
                <w:rFonts w:ascii="Arial" w:eastAsia="Arial" w:hAnsi="Arial" w:cs="Arial"/>
                <w:lang w:val="en-US"/>
              </w:rPr>
              <w:t>5.8.2 HOEMD shall check the completeness and consistency of the submission and ITMS shall validate the area applied for the ocean energy project within three (3) days.</w:t>
            </w:r>
          </w:p>
        </w:tc>
        <w:tc>
          <w:tcPr>
            <w:tcW w:w="3590" w:type="dxa"/>
          </w:tcPr>
          <w:p w14:paraId="31385ADF" w14:textId="77777777" w:rsidR="006C4239" w:rsidRPr="006A1E11" w:rsidRDefault="006C4239" w:rsidP="006A1E11">
            <w:pPr>
              <w:ind w:left="360"/>
              <w:jc w:val="both"/>
              <w:rPr>
                <w:rFonts w:eastAsia="Arial"/>
              </w:rPr>
            </w:pPr>
          </w:p>
        </w:tc>
        <w:tc>
          <w:tcPr>
            <w:tcW w:w="4267" w:type="dxa"/>
          </w:tcPr>
          <w:p w14:paraId="727A54B4" w14:textId="77777777" w:rsidR="006C4239" w:rsidRPr="006A1E11" w:rsidRDefault="006C4239" w:rsidP="006A1E11">
            <w:pPr>
              <w:ind w:left="360"/>
              <w:jc w:val="both"/>
              <w:rPr>
                <w:rFonts w:eastAsia="Arial"/>
              </w:rPr>
            </w:pPr>
          </w:p>
        </w:tc>
      </w:tr>
      <w:tr w:rsidR="006C4239" w:rsidRPr="00D51AE5" w14:paraId="68CA5313" w14:textId="38C5EEB1" w:rsidTr="007639A7">
        <w:tc>
          <w:tcPr>
            <w:tcW w:w="6044" w:type="dxa"/>
          </w:tcPr>
          <w:p w14:paraId="766055D9" w14:textId="77777777" w:rsidR="006C4239" w:rsidRPr="00D51AE5" w:rsidRDefault="006C4239" w:rsidP="006C4239">
            <w:pPr>
              <w:spacing w:line="276" w:lineRule="auto"/>
              <w:jc w:val="both"/>
              <w:rPr>
                <w:rFonts w:ascii="Arial" w:eastAsia="Arial" w:hAnsi="Arial" w:cs="Arial"/>
                <w:lang w:val="en-US"/>
              </w:rPr>
            </w:pPr>
            <w:r w:rsidRPr="00D51AE5">
              <w:rPr>
                <w:rFonts w:ascii="Arial" w:eastAsia="Arial" w:hAnsi="Arial" w:cs="Arial"/>
                <w:lang w:val="en-US"/>
              </w:rPr>
              <w:t xml:space="preserve">5.8.3 If the submission is complete, HOEMD shall upload a copy of the order of payment for the application and processing fees. </w:t>
            </w:r>
            <w:r w:rsidRPr="00D51AE5">
              <w:rPr>
                <w:rFonts w:ascii="Arial" w:hAnsi="Arial" w:cs="Arial"/>
                <w:lang w:val="en-US"/>
              </w:rPr>
              <w:t xml:space="preserve">The </w:t>
            </w:r>
            <w:r w:rsidRPr="00D51AE5">
              <w:rPr>
                <w:rFonts w:ascii="Arial" w:eastAsia="Arial" w:hAnsi="Arial" w:cs="Arial"/>
                <w:lang w:val="en-US"/>
              </w:rPr>
              <w:t xml:space="preserve">EVOSS System shall notify the </w:t>
            </w:r>
            <w:r w:rsidRPr="00D51AE5">
              <w:rPr>
                <w:rFonts w:ascii="Arial" w:hAnsi="Arial" w:cs="Arial"/>
                <w:iCs/>
                <w:lang w:val="en-US"/>
              </w:rPr>
              <w:t>OESC</w:t>
            </w:r>
            <w:r w:rsidRPr="00D51AE5">
              <w:rPr>
                <w:rFonts w:ascii="Arial" w:eastAsia="Arial" w:hAnsi="Arial" w:cs="Arial"/>
                <w:lang w:val="en-US"/>
              </w:rPr>
              <w:t xml:space="preserve"> Applicant through a system-generated email to pay the application and processing fees within five (5) days. Failure to do so will result in the abandonment of the application.</w:t>
            </w:r>
          </w:p>
        </w:tc>
        <w:tc>
          <w:tcPr>
            <w:tcW w:w="3590" w:type="dxa"/>
          </w:tcPr>
          <w:p w14:paraId="60B14BF1" w14:textId="77777777" w:rsidR="006C4239" w:rsidRPr="006A1E11" w:rsidRDefault="006C4239" w:rsidP="006A1E11">
            <w:pPr>
              <w:ind w:left="360"/>
              <w:jc w:val="both"/>
              <w:rPr>
                <w:rFonts w:eastAsia="Arial"/>
              </w:rPr>
            </w:pPr>
          </w:p>
        </w:tc>
        <w:tc>
          <w:tcPr>
            <w:tcW w:w="4267" w:type="dxa"/>
          </w:tcPr>
          <w:p w14:paraId="1C62DE4F" w14:textId="77777777" w:rsidR="006C4239" w:rsidRPr="006A1E11" w:rsidRDefault="006C4239" w:rsidP="006A1E11">
            <w:pPr>
              <w:ind w:left="360"/>
              <w:jc w:val="both"/>
              <w:rPr>
                <w:rFonts w:eastAsia="Arial"/>
              </w:rPr>
            </w:pPr>
          </w:p>
        </w:tc>
      </w:tr>
      <w:tr w:rsidR="006C4239" w:rsidRPr="00D51AE5" w14:paraId="33E30319" w14:textId="79CD7AF9" w:rsidTr="007639A7">
        <w:tc>
          <w:tcPr>
            <w:tcW w:w="6044" w:type="dxa"/>
          </w:tcPr>
          <w:p w14:paraId="2164D242" w14:textId="4822EEC8" w:rsidR="006C4239" w:rsidRPr="00D51AE5" w:rsidRDefault="006C4239" w:rsidP="006C4239">
            <w:pPr>
              <w:spacing w:line="276" w:lineRule="auto"/>
              <w:jc w:val="both"/>
              <w:rPr>
                <w:rFonts w:ascii="Arial" w:eastAsia="Arial" w:hAnsi="Arial" w:cs="Arial"/>
                <w:lang w:val="en-US"/>
              </w:rPr>
            </w:pPr>
            <w:r w:rsidRPr="00D51AE5">
              <w:rPr>
                <w:rFonts w:ascii="Arial" w:eastAsia="Arial" w:hAnsi="Arial" w:cs="Arial"/>
                <w:lang w:val="en-US"/>
              </w:rPr>
              <w:t>5.8.4</w:t>
            </w:r>
            <w:r w:rsidRPr="00D51AE5">
              <w:rPr>
                <w:rFonts w:ascii="Arial" w:eastAsia="Arial" w:hAnsi="Arial" w:cs="Arial"/>
                <w:lang w:val="en-US"/>
              </w:rPr>
              <w:tab/>
              <w:t>The EVOSS System shall notify LS, FS and ITMS of the complete submission.</w:t>
            </w:r>
          </w:p>
        </w:tc>
        <w:tc>
          <w:tcPr>
            <w:tcW w:w="3590" w:type="dxa"/>
          </w:tcPr>
          <w:p w14:paraId="3143E95E" w14:textId="77777777" w:rsidR="006C4239" w:rsidRPr="006A1E11" w:rsidRDefault="006C4239" w:rsidP="006A1E11">
            <w:pPr>
              <w:ind w:left="360"/>
              <w:jc w:val="both"/>
              <w:rPr>
                <w:rFonts w:eastAsia="Arial"/>
              </w:rPr>
            </w:pPr>
          </w:p>
        </w:tc>
        <w:tc>
          <w:tcPr>
            <w:tcW w:w="4267" w:type="dxa"/>
          </w:tcPr>
          <w:p w14:paraId="5AF3A907" w14:textId="77777777" w:rsidR="006C4239" w:rsidRPr="006A1E11" w:rsidRDefault="006C4239" w:rsidP="006A1E11">
            <w:pPr>
              <w:ind w:left="360"/>
              <w:jc w:val="both"/>
              <w:rPr>
                <w:rFonts w:eastAsia="Arial"/>
              </w:rPr>
            </w:pPr>
          </w:p>
        </w:tc>
      </w:tr>
      <w:tr w:rsidR="006C4239" w:rsidRPr="00D51AE5" w14:paraId="2DDDC728" w14:textId="50D316E2" w:rsidTr="007639A7">
        <w:tc>
          <w:tcPr>
            <w:tcW w:w="6044" w:type="dxa"/>
          </w:tcPr>
          <w:p w14:paraId="2532EDE9" w14:textId="77777777" w:rsidR="006C4239" w:rsidRPr="00D51AE5" w:rsidRDefault="006C4239" w:rsidP="006C4239">
            <w:pPr>
              <w:pStyle w:val="ListParagraph"/>
              <w:numPr>
                <w:ilvl w:val="1"/>
                <w:numId w:val="42"/>
              </w:numPr>
              <w:jc w:val="both"/>
              <w:rPr>
                <w:b/>
                <w:bCs/>
              </w:rPr>
            </w:pPr>
            <w:r w:rsidRPr="00D51AE5">
              <w:rPr>
                <w:b/>
                <w:bCs/>
              </w:rPr>
              <w:t>Evaluation of Ocean Energy Service Contract Applications.</w:t>
            </w:r>
          </w:p>
        </w:tc>
        <w:tc>
          <w:tcPr>
            <w:tcW w:w="3590" w:type="dxa"/>
          </w:tcPr>
          <w:p w14:paraId="47AF008C" w14:textId="77777777" w:rsidR="006C4239" w:rsidRPr="006A1E11" w:rsidRDefault="006C4239" w:rsidP="006A1E11">
            <w:pPr>
              <w:ind w:left="1080"/>
              <w:jc w:val="both"/>
              <w:rPr>
                <w:b/>
                <w:bCs/>
              </w:rPr>
            </w:pPr>
          </w:p>
        </w:tc>
        <w:tc>
          <w:tcPr>
            <w:tcW w:w="4267" w:type="dxa"/>
          </w:tcPr>
          <w:p w14:paraId="4D21B544" w14:textId="77777777" w:rsidR="006C4239" w:rsidRPr="006A1E11" w:rsidRDefault="006C4239" w:rsidP="006A1E11">
            <w:pPr>
              <w:ind w:left="1080"/>
              <w:jc w:val="both"/>
              <w:rPr>
                <w:b/>
                <w:bCs/>
              </w:rPr>
            </w:pPr>
          </w:p>
        </w:tc>
      </w:tr>
      <w:tr w:rsidR="006C4239" w:rsidRPr="00D51AE5" w14:paraId="2CD8511F" w14:textId="02CC64DF" w:rsidTr="007639A7">
        <w:tc>
          <w:tcPr>
            <w:tcW w:w="6044" w:type="dxa"/>
          </w:tcPr>
          <w:p w14:paraId="16EA129A" w14:textId="77777777" w:rsidR="006C4239" w:rsidRPr="00D51AE5" w:rsidRDefault="006C4239" w:rsidP="006C4239">
            <w:pPr>
              <w:pStyle w:val="ListParagraph"/>
              <w:numPr>
                <w:ilvl w:val="2"/>
                <w:numId w:val="42"/>
              </w:numPr>
              <w:ind w:left="1985" w:hanging="567"/>
              <w:jc w:val="both"/>
            </w:pPr>
            <w:r w:rsidRPr="00D51AE5">
              <w:t>After the payment of the processing fee, HOEMD, LS, and FS shall conduct the simultaneous technical, legal, and financial evaluations within five (5) days from uploading of the proof of payment of application and processing fees in the EVOSS System.</w:t>
            </w:r>
          </w:p>
        </w:tc>
        <w:tc>
          <w:tcPr>
            <w:tcW w:w="3590" w:type="dxa"/>
          </w:tcPr>
          <w:p w14:paraId="2F62EE6E" w14:textId="77777777" w:rsidR="006C4239" w:rsidRPr="006A1E11" w:rsidRDefault="006C4239" w:rsidP="006A1E11">
            <w:pPr>
              <w:ind w:left="1980"/>
              <w:jc w:val="both"/>
            </w:pPr>
          </w:p>
        </w:tc>
        <w:tc>
          <w:tcPr>
            <w:tcW w:w="4267" w:type="dxa"/>
          </w:tcPr>
          <w:p w14:paraId="764674CF" w14:textId="77777777" w:rsidR="006C4239" w:rsidRPr="006A1E11" w:rsidRDefault="006C4239" w:rsidP="006A1E11">
            <w:pPr>
              <w:ind w:left="1980"/>
              <w:jc w:val="both"/>
            </w:pPr>
          </w:p>
        </w:tc>
      </w:tr>
      <w:tr w:rsidR="006C4239" w:rsidRPr="00D51AE5" w14:paraId="2EADF566" w14:textId="7EACF1F5" w:rsidTr="007639A7">
        <w:tc>
          <w:tcPr>
            <w:tcW w:w="6044" w:type="dxa"/>
          </w:tcPr>
          <w:p w14:paraId="54D5F1E6" w14:textId="77777777" w:rsidR="006C4239" w:rsidRPr="00D51AE5" w:rsidRDefault="006C4239" w:rsidP="006C4239">
            <w:pPr>
              <w:pStyle w:val="ListParagraph"/>
              <w:numPr>
                <w:ilvl w:val="2"/>
                <w:numId w:val="42"/>
              </w:numPr>
              <w:ind w:left="1985" w:hanging="567"/>
              <w:jc w:val="both"/>
            </w:pPr>
            <w:r w:rsidRPr="00D51AE5">
              <w:t xml:space="preserve">Preference shall be given to proposed ocean energy projects </w:t>
            </w:r>
            <w:r w:rsidRPr="00D51AE5">
              <w:rPr>
                <w:rFonts w:eastAsia="Arial"/>
              </w:rPr>
              <w:t xml:space="preserve">that are situated in close proximity to existing and available transmission facilities. Alternatively, preference may also be given to </w:t>
            </w:r>
            <w:r w:rsidRPr="00D51AE5">
              <w:rPr>
                <w:iCs/>
              </w:rPr>
              <w:t>OESC</w:t>
            </w:r>
            <w:r w:rsidRPr="00D51AE5">
              <w:rPr>
                <w:rFonts w:eastAsia="Arial"/>
              </w:rPr>
              <w:t xml:space="preserve"> Applicants with a proposal for the construction of the necessary transmission facilities.</w:t>
            </w:r>
          </w:p>
        </w:tc>
        <w:tc>
          <w:tcPr>
            <w:tcW w:w="3590" w:type="dxa"/>
          </w:tcPr>
          <w:p w14:paraId="6C0F947B" w14:textId="77777777" w:rsidR="006C4239" w:rsidRPr="006A1E11" w:rsidRDefault="006C4239" w:rsidP="006A1E11">
            <w:pPr>
              <w:ind w:left="1980"/>
              <w:jc w:val="both"/>
            </w:pPr>
          </w:p>
        </w:tc>
        <w:tc>
          <w:tcPr>
            <w:tcW w:w="4267" w:type="dxa"/>
          </w:tcPr>
          <w:p w14:paraId="4BCB2EED" w14:textId="77777777" w:rsidR="006C4239" w:rsidRPr="006A1E11" w:rsidRDefault="006C4239" w:rsidP="006A1E11">
            <w:pPr>
              <w:ind w:left="1980"/>
              <w:jc w:val="both"/>
            </w:pPr>
          </w:p>
        </w:tc>
      </w:tr>
      <w:tr w:rsidR="006C4239" w:rsidRPr="00D51AE5" w14:paraId="1AC3C884" w14:textId="3217DB4D" w:rsidTr="007639A7">
        <w:tc>
          <w:tcPr>
            <w:tcW w:w="6044" w:type="dxa"/>
          </w:tcPr>
          <w:p w14:paraId="1314A9D3" w14:textId="77777777" w:rsidR="006C4239" w:rsidRPr="00D51AE5" w:rsidRDefault="006C4239" w:rsidP="006C4239">
            <w:pPr>
              <w:pStyle w:val="ListParagraph"/>
              <w:numPr>
                <w:ilvl w:val="2"/>
                <w:numId w:val="42"/>
              </w:numPr>
              <w:ind w:left="1985" w:hanging="567"/>
              <w:jc w:val="both"/>
            </w:pPr>
            <w:r w:rsidRPr="00D51AE5">
              <w:t>HOEMD shall consolidate all the evaluation results and proceed with the processing of the application, as follows:</w:t>
            </w:r>
          </w:p>
        </w:tc>
        <w:tc>
          <w:tcPr>
            <w:tcW w:w="3590" w:type="dxa"/>
          </w:tcPr>
          <w:p w14:paraId="045AE469" w14:textId="77777777" w:rsidR="006C4239" w:rsidRPr="006A1E11" w:rsidRDefault="006C4239" w:rsidP="006A1E11">
            <w:pPr>
              <w:ind w:left="1980"/>
              <w:jc w:val="both"/>
            </w:pPr>
          </w:p>
        </w:tc>
        <w:tc>
          <w:tcPr>
            <w:tcW w:w="4267" w:type="dxa"/>
          </w:tcPr>
          <w:p w14:paraId="5844EAF1" w14:textId="77777777" w:rsidR="006C4239" w:rsidRPr="006A1E11" w:rsidRDefault="006C4239" w:rsidP="006A1E11">
            <w:pPr>
              <w:ind w:left="1980"/>
              <w:jc w:val="both"/>
            </w:pPr>
          </w:p>
        </w:tc>
      </w:tr>
      <w:tr w:rsidR="006C4239" w:rsidRPr="00D51AE5" w14:paraId="472E453F" w14:textId="29A80F32" w:rsidTr="007639A7">
        <w:tc>
          <w:tcPr>
            <w:tcW w:w="6044" w:type="dxa"/>
          </w:tcPr>
          <w:p w14:paraId="3C6D4649" w14:textId="77777777" w:rsidR="006C4239" w:rsidRPr="00D51AE5" w:rsidRDefault="006C4239" w:rsidP="00177E6D">
            <w:pPr>
              <w:pStyle w:val="ListParagraph"/>
              <w:numPr>
                <w:ilvl w:val="0"/>
                <w:numId w:val="43"/>
              </w:numPr>
              <w:ind w:left="2718"/>
              <w:jc w:val="both"/>
              <w:rPr>
                <w:rFonts w:eastAsia="Arial"/>
              </w:rPr>
            </w:pPr>
            <w:r w:rsidRPr="00D51AE5">
              <w:rPr>
                <w:rFonts w:eastAsia="Arial"/>
              </w:rPr>
              <w:t xml:space="preserve">If the </w:t>
            </w:r>
            <w:r w:rsidRPr="00D51AE5">
              <w:rPr>
                <w:iCs/>
              </w:rPr>
              <w:t>OESC</w:t>
            </w:r>
            <w:r w:rsidRPr="00D51AE5">
              <w:rPr>
                <w:rFonts w:eastAsia="Arial"/>
              </w:rPr>
              <w:t xml:space="preserve"> Application passes the evaluations, HOEMD shall, within two (2) days from its receipt of the evaluation documents, prepare REMB’s memorandum for the Secretary endorsing the award of the </w:t>
            </w:r>
            <w:r w:rsidRPr="00D51AE5">
              <w:rPr>
                <w:iCs/>
              </w:rPr>
              <w:t>OESC</w:t>
            </w:r>
            <w:r w:rsidRPr="00D51AE5">
              <w:rPr>
                <w:rFonts w:eastAsia="Arial"/>
              </w:rPr>
              <w:t xml:space="preserve"> Application; the draft Certificate of Authority; and the draft </w:t>
            </w:r>
            <w:r w:rsidRPr="00D51AE5">
              <w:rPr>
                <w:iCs/>
              </w:rPr>
              <w:t>OESC</w:t>
            </w:r>
            <w:r w:rsidRPr="00D51AE5">
              <w:rPr>
                <w:rFonts w:eastAsia="Arial"/>
              </w:rPr>
              <w:t xml:space="preserve">. The endorsement must include the original copy of the results of area verification and the legal, technical and financial evaluations with all their attachments, and the project area map and its technical descriptions. Upon concurrence of ITMS, FS, REMB and LS on the endorsement, the Secretary shall act on the </w:t>
            </w:r>
            <w:r w:rsidRPr="00D51AE5">
              <w:rPr>
                <w:iCs/>
              </w:rPr>
              <w:t>OESC</w:t>
            </w:r>
            <w:r w:rsidRPr="00D51AE5">
              <w:rPr>
                <w:rFonts w:eastAsia="Arial"/>
              </w:rPr>
              <w:t xml:space="preserve"> Application in accordance with Section 7 of this Chapter. </w:t>
            </w:r>
          </w:p>
        </w:tc>
        <w:tc>
          <w:tcPr>
            <w:tcW w:w="3590" w:type="dxa"/>
          </w:tcPr>
          <w:p w14:paraId="27292C63" w14:textId="77777777" w:rsidR="006C4239" w:rsidRPr="006A1E11" w:rsidRDefault="006C4239" w:rsidP="006A1E11">
            <w:pPr>
              <w:ind w:left="360"/>
              <w:jc w:val="both"/>
              <w:rPr>
                <w:rFonts w:eastAsia="Arial"/>
              </w:rPr>
            </w:pPr>
          </w:p>
        </w:tc>
        <w:tc>
          <w:tcPr>
            <w:tcW w:w="4267" w:type="dxa"/>
          </w:tcPr>
          <w:p w14:paraId="2F5BC2C3" w14:textId="77777777" w:rsidR="006C4239" w:rsidRPr="006A1E11" w:rsidRDefault="006C4239" w:rsidP="006A1E11">
            <w:pPr>
              <w:ind w:left="360"/>
              <w:jc w:val="both"/>
              <w:rPr>
                <w:rFonts w:eastAsia="Arial"/>
              </w:rPr>
            </w:pPr>
          </w:p>
        </w:tc>
      </w:tr>
      <w:tr w:rsidR="006C4239" w:rsidRPr="00D51AE5" w14:paraId="234E0947" w14:textId="5C0E8118" w:rsidTr="007639A7">
        <w:tc>
          <w:tcPr>
            <w:tcW w:w="6044" w:type="dxa"/>
          </w:tcPr>
          <w:p w14:paraId="51361846" w14:textId="77777777" w:rsidR="006C4239" w:rsidRPr="00D51AE5" w:rsidRDefault="006C4239" w:rsidP="00177E6D">
            <w:pPr>
              <w:pStyle w:val="ListParagraph"/>
              <w:numPr>
                <w:ilvl w:val="0"/>
                <w:numId w:val="43"/>
              </w:numPr>
              <w:ind w:left="2718"/>
              <w:jc w:val="both"/>
              <w:rPr>
                <w:rFonts w:eastAsia="Arial"/>
              </w:rPr>
            </w:pPr>
            <w:r w:rsidRPr="00D51AE5">
              <w:rPr>
                <w:rFonts w:eastAsia="Arial"/>
              </w:rPr>
              <w:t xml:space="preserve">If the </w:t>
            </w:r>
            <w:r w:rsidRPr="00D51AE5">
              <w:rPr>
                <w:iCs/>
              </w:rPr>
              <w:t>OESC</w:t>
            </w:r>
            <w:r w:rsidRPr="00D51AE5">
              <w:rPr>
                <w:rFonts w:eastAsia="Arial"/>
              </w:rPr>
              <w:t xml:space="preserve"> Application does not pass the legal, technical, and/or financial evaluations, HOEMD shall notify the </w:t>
            </w:r>
            <w:r w:rsidRPr="00D51AE5">
              <w:rPr>
                <w:iCs/>
              </w:rPr>
              <w:t>OESC</w:t>
            </w:r>
            <w:r w:rsidRPr="00D51AE5">
              <w:rPr>
                <w:rFonts w:eastAsia="Arial"/>
              </w:rPr>
              <w:t xml:space="preserve"> Applicant through the EVOSS System to rectify the submission within ten (10)</w:t>
            </w:r>
            <w:r w:rsidRPr="00D51AE5">
              <w:t xml:space="preserve"> </w:t>
            </w:r>
            <w:r w:rsidRPr="00D51AE5">
              <w:rPr>
                <w:rFonts w:eastAsia="Arial"/>
              </w:rPr>
              <w:t>days.</w:t>
            </w:r>
          </w:p>
        </w:tc>
        <w:tc>
          <w:tcPr>
            <w:tcW w:w="3590" w:type="dxa"/>
          </w:tcPr>
          <w:p w14:paraId="081F8236" w14:textId="77777777" w:rsidR="006C4239" w:rsidRPr="006A1E11" w:rsidRDefault="006C4239" w:rsidP="006A1E11">
            <w:pPr>
              <w:ind w:left="360"/>
              <w:jc w:val="both"/>
              <w:rPr>
                <w:rFonts w:eastAsia="Arial"/>
              </w:rPr>
            </w:pPr>
          </w:p>
        </w:tc>
        <w:tc>
          <w:tcPr>
            <w:tcW w:w="4267" w:type="dxa"/>
          </w:tcPr>
          <w:p w14:paraId="337B6D9B" w14:textId="77777777" w:rsidR="006C4239" w:rsidRPr="006A1E11" w:rsidRDefault="006C4239" w:rsidP="006A1E11">
            <w:pPr>
              <w:ind w:left="360"/>
              <w:jc w:val="both"/>
              <w:rPr>
                <w:rFonts w:eastAsia="Arial"/>
              </w:rPr>
            </w:pPr>
          </w:p>
        </w:tc>
      </w:tr>
      <w:tr w:rsidR="006C4239" w:rsidRPr="00D51AE5" w14:paraId="4C103B83" w14:textId="62A8B34D" w:rsidTr="007639A7">
        <w:tc>
          <w:tcPr>
            <w:tcW w:w="6044" w:type="dxa"/>
          </w:tcPr>
          <w:p w14:paraId="4CA75FBA" w14:textId="77777777" w:rsidR="006C4239" w:rsidRPr="00D51AE5" w:rsidRDefault="006C4239" w:rsidP="00177E6D">
            <w:pPr>
              <w:pStyle w:val="ListParagraph"/>
              <w:numPr>
                <w:ilvl w:val="0"/>
                <w:numId w:val="44"/>
              </w:numPr>
              <w:ind w:left="2718"/>
              <w:jc w:val="both"/>
            </w:pPr>
            <w:r w:rsidRPr="00D51AE5">
              <w:t xml:space="preserve">Failure of the </w:t>
            </w:r>
            <w:r w:rsidRPr="00D51AE5">
              <w:rPr>
                <w:iCs/>
              </w:rPr>
              <w:t>OESC</w:t>
            </w:r>
            <w:r w:rsidRPr="00D51AE5">
              <w:t xml:space="preserve"> Applicant to submit supplementary documents within the prescribed period shall be deemed an abandonment of the </w:t>
            </w:r>
            <w:r w:rsidRPr="00D51AE5">
              <w:rPr>
                <w:iCs/>
              </w:rPr>
              <w:t>OESC</w:t>
            </w:r>
            <w:r w:rsidRPr="00D51AE5">
              <w:t xml:space="preserve"> Application. HOEMD shall notify the </w:t>
            </w:r>
            <w:r w:rsidRPr="00D51AE5">
              <w:rPr>
                <w:iCs/>
              </w:rPr>
              <w:t>OESC</w:t>
            </w:r>
            <w:r w:rsidRPr="00D51AE5">
              <w:t xml:space="preserve"> Applicant, LS, FS, and ITMS of the disqualification through the EVOSS System.</w:t>
            </w:r>
          </w:p>
        </w:tc>
        <w:tc>
          <w:tcPr>
            <w:tcW w:w="3590" w:type="dxa"/>
          </w:tcPr>
          <w:p w14:paraId="401BA50A" w14:textId="77777777" w:rsidR="006C4239" w:rsidRPr="006A1E11" w:rsidRDefault="006C4239" w:rsidP="006A1E11">
            <w:pPr>
              <w:ind w:left="360"/>
              <w:jc w:val="both"/>
            </w:pPr>
          </w:p>
        </w:tc>
        <w:tc>
          <w:tcPr>
            <w:tcW w:w="4267" w:type="dxa"/>
          </w:tcPr>
          <w:p w14:paraId="7CF36A5C" w14:textId="77777777" w:rsidR="006C4239" w:rsidRPr="006A1E11" w:rsidRDefault="006C4239" w:rsidP="006A1E11">
            <w:pPr>
              <w:ind w:left="360"/>
              <w:jc w:val="both"/>
            </w:pPr>
          </w:p>
        </w:tc>
      </w:tr>
      <w:tr w:rsidR="006C4239" w:rsidRPr="00D51AE5" w14:paraId="0BF9C6FF" w14:textId="2D8012EE" w:rsidTr="007639A7">
        <w:tc>
          <w:tcPr>
            <w:tcW w:w="6044" w:type="dxa"/>
          </w:tcPr>
          <w:p w14:paraId="10A7AF39" w14:textId="77777777" w:rsidR="006C4239" w:rsidRPr="00D51AE5" w:rsidRDefault="006C4239" w:rsidP="00177E6D">
            <w:pPr>
              <w:pStyle w:val="ListParagraph"/>
              <w:numPr>
                <w:ilvl w:val="0"/>
                <w:numId w:val="44"/>
              </w:numPr>
              <w:ind w:left="2718"/>
              <w:jc w:val="both"/>
            </w:pPr>
            <w:r w:rsidRPr="00D51AE5">
              <w:t xml:space="preserve">If the </w:t>
            </w:r>
            <w:r w:rsidRPr="00D51AE5">
              <w:rPr>
                <w:iCs/>
              </w:rPr>
              <w:t>OESC</w:t>
            </w:r>
            <w:r w:rsidRPr="00D51AE5">
              <w:t xml:space="preserve"> Applicant submits supplementary complete documents within the prescribed period above, HOEMD, LS and FS shall be notified by the EVOSS System of the submission. HOEMD, FS and LS shall finish the simultaneous technical, legal, and financial evaluations within three (3) days. </w:t>
            </w:r>
          </w:p>
        </w:tc>
        <w:tc>
          <w:tcPr>
            <w:tcW w:w="3590" w:type="dxa"/>
          </w:tcPr>
          <w:p w14:paraId="6D6939F6" w14:textId="77777777" w:rsidR="006C4239" w:rsidRPr="006A1E11" w:rsidRDefault="006C4239" w:rsidP="006A1E11">
            <w:pPr>
              <w:ind w:left="360"/>
              <w:jc w:val="both"/>
            </w:pPr>
          </w:p>
        </w:tc>
        <w:tc>
          <w:tcPr>
            <w:tcW w:w="4267" w:type="dxa"/>
          </w:tcPr>
          <w:p w14:paraId="25630E74" w14:textId="77777777" w:rsidR="006C4239" w:rsidRPr="006A1E11" w:rsidRDefault="006C4239" w:rsidP="006A1E11">
            <w:pPr>
              <w:ind w:left="360"/>
              <w:jc w:val="both"/>
            </w:pPr>
          </w:p>
        </w:tc>
      </w:tr>
      <w:tr w:rsidR="006C4239" w:rsidRPr="00D51AE5" w14:paraId="0A5F94E4" w14:textId="27FBE5FD" w:rsidTr="007639A7">
        <w:tc>
          <w:tcPr>
            <w:tcW w:w="6044" w:type="dxa"/>
          </w:tcPr>
          <w:p w14:paraId="1AAD6DF2" w14:textId="77777777" w:rsidR="006C4239" w:rsidRPr="00D51AE5" w:rsidRDefault="006C4239" w:rsidP="00177E6D">
            <w:pPr>
              <w:pStyle w:val="ListParagraph"/>
              <w:numPr>
                <w:ilvl w:val="0"/>
                <w:numId w:val="44"/>
              </w:numPr>
              <w:ind w:left="2718"/>
              <w:jc w:val="both"/>
            </w:pPr>
            <w:r w:rsidRPr="00D51AE5">
              <w:t xml:space="preserve">Should the </w:t>
            </w:r>
            <w:r w:rsidRPr="00D51AE5">
              <w:rPr>
                <w:iCs/>
              </w:rPr>
              <w:t>OESC</w:t>
            </w:r>
            <w:r w:rsidRPr="00D51AE5">
              <w:t xml:space="preserve"> Application still fail to pass any of the subsequent legal, technical, or financial evaluations, HOEMD shall notify the HSC Applicant, LS, FS, and ITMS of the disqualification through the EVOSS System.</w:t>
            </w:r>
          </w:p>
        </w:tc>
        <w:tc>
          <w:tcPr>
            <w:tcW w:w="3590" w:type="dxa"/>
          </w:tcPr>
          <w:p w14:paraId="3A548AAB" w14:textId="77777777" w:rsidR="006C4239" w:rsidRPr="006A1E11" w:rsidRDefault="006C4239" w:rsidP="006A1E11">
            <w:pPr>
              <w:ind w:left="360"/>
              <w:jc w:val="both"/>
            </w:pPr>
          </w:p>
        </w:tc>
        <w:tc>
          <w:tcPr>
            <w:tcW w:w="4267" w:type="dxa"/>
          </w:tcPr>
          <w:p w14:paraId="05B2F14E" w14:textId="77777777" w:rsidR="006C4239" w:rsidRPr="006A1E11" w:rsidRDefault="006C4239" w:rsidP="006A1E11">
            <w:pPr>
              <w:ind w:left="360"/>
              <w:jc w:val="both"/>
            </w:pPr>
          </w:p>
        </w:tc>
      </w:tr>
      <w:tr w:rsidR="006C4239" w:rsidRPr="00D51AE5" w14:paraId="37A3E67B" w14:textId="34ED0F1A" w:rsidTr="007639A7">
        <w:tc>
          <w:tcPr>
            <w:tcW w:w="6044" w:type="dxa"/>
          </w:tcPr>
          <w:p w14:paraId="2B27F9B9"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Upon receipt of the RE Applicant of the letter of disqualification, the REMB shall prepare a memorandum to the ITMS to immediately re-open the area for RE Applications by posting such information on the DOE website.</w:t>
            </w:r>
          </w:p>
        </w:tc>
        <w:tc>
          <w:tcPr>
            <w:tcW w:w="3590" w:type="dxa"/>
          </w:tcPr>
          <w:p w14:paraId="405531F6" w14:textId="77777777" w:rsidR="006C4239" w:rsidRPr="006A1E11" w:rsidRDefault="006C4239" w:rsidP="006A1E11">
            <w:pPr>
              <w:ind w:left="360"/>
              <w:jc w:val="both"/>
            </w:pPr>
          </w:p>
        </w:tc>
        <w:tc>
          <w:tcPr>
            <w:tcW w:w="4267" w:type="dxa"/>
          </w:tcPr>
          <w:p w14:paraId="05691537" w14:textId="77777777" w:rsidR="006C4239" w:rsidRPr="006A1E11" w:rsidRDefault="006C4239" w:rsidP="006A1E11">
            <w:pPr>
              <w:ind w:left="360"/>
              <w:jc w:val="both"/>
            </w:pPr>
          </w:p>
        </w:tc>
      </w:tr>
      <w:tr w:rsidR="006C4239" w:rsidRPr="00D51AE5" w14:paraId="1A82CF30" w14:textId="421A281F" w:rsidTr="007639A7">
        <w:tc>
          <w:tcPr>
            <w:tcW w:w="6044" w:type="dxa"/>
          </w:tcPr>
          <w:p w14:paraId="7F0268FE" w14:textId="77777777" w:rsidR="006C4239" w:rsidRPr="00D51AE5" w:rsidRDefault="006C4239" w:rsidP="006C4239">
            <w:pPr>
              <w:pStyle w:val="ListParagraph"/>
              <w:numPr>
                <w:ilvl w:val="2"/>
                <w:numId w:val="42"/>
              </w:numPr>
              <w:jc w:val="both"/>
            </w:pPr>
            <w:r w:rsidRPr="00D51AE5">
              <w:t xml:space="preserve">The </w:t>
            </w:r>
            <w:r w:rsidRPr="00D51AE5">
              <w:rPr>
                <w:iCs/>
              </w:rPr>
              <w:t>OESC</w:t>
            </w:r>
            <w:r w:rsidRPr="00D51AE5">
              <w:t xml:space="preserve"> Applicant shall submit all supplemental documents through the EVOSS System. Documents submitted outside the EVOSS System and those submitted through the EVOSS System but beyond the prescribed period shall not be accepted or evaluated. </w:t>
            </w:r>
          </w:p>
        </w:tc>
        <w:tc>
          <w:tcPr>
            <w:tcW w:w="3590" w:type="dxa"/>
          </w:tcPr>
          <w:p w14:paraId="2B13895F" w14:textId="77777777" w:rsidR="006C4239" w:rsidRPr="006A1E11" w:rsidRDefault="006C4239" w:rsidP="006A1E11">
            <w:pPr>
              <w:ind w:left="1980"/>
              <w:jc w:val="both"/>
            </w:pPr>
          </w:p>
        </w:tc>
        <w:tc>
          <w:tcPr>
            <w:tcW w:w="4267" w:type="dxa"/>
          </w:tcPr>
          <w:p w14:paraId="0082030F" w14:textId="77777777" w:rsidR="006C4239" w:rsidRPr="006A1E11" w:rsidRDefault="006C4239" w:rsidP="006A1E11">
            <w:pPr>
              <w:ind w:left="1980"/>
              <w:jc w:val="both"/>
            </w:pPr>
          </w:p>
        </w:tc>
      </w:tr>
      <w:tr w:rsidR="006C4239" w:rsidRPr="00D51AE5" w14:paraId="73E41EBE" w14:textId="1E4849BC" w:rsidTr="007639A7">
        <w:tc>
          <w:tcPr>
            <w:tcW w:w="6044" w:type="dxa"/>
          </w:tcPr>
          <w:p w14:paraId="0DB856BC" w14:textId="77777777" w:rsidR="006C4239" w:rsidRPr="00D51AE5" w:rsidRDefault="006C4239" w:rsidP="006C4239">
            <w:pPr>
              <w:pStyle w:val="ListParagraph"/>
              <w:numPr>
                <w:ilvl w:val="2"/>
                <w:numId w:val="42"/>
              </w:numPr>
              <w:jc w:val="both"/>
            </w:pPr>
            <w:r w:rsidRPr="00D51AE5">
              <w:t xml:space="preserve">No Request for Reconsideration (RR) of any of the legal, technical, financial evaluation or the disqualification shall be entertained, except when the </w:t>
            </w:r>
            <w:r w:rsidRPr="00D51AE5">
              <w:rPr>
                <w:iCs/>
              </w:rPr>
              <w:t>OESC</w:t>
            </w:r>
            <w:r w:rsidRPr="00D51AE5">
              <w:t xml:space="preserve"> Applicant failed to submit the required documents within the prescribed timelines due to a fault in the EVOSS System, as confirmed by Investment Promotion Office (IPO). In such circumstances, the </w:t>
            </w:r>
            <w:r w:rsidRPr="00D51AE5">
              <w:rPr>
                <w:iCs/>
              </w:rPr>
              <w:t>OESC</w:t>
            </w:r>
            <w:r w:rsidRPr="00D51AE5">
              <w:t xml:space="preserve"> Applicant shall file the RR with REMB within three (3) days from uploading of the Notice of Disqualification.</w:t>
            </w:r>
          </w:p>
        </w:tc>
        <w:tc>
          <w:tcPr>
            <w:tcW w:w="3590" w:type="dxa"/>
          </w:tcPr>
          <w:p w14:paraId="53CD7CC9" w14:textId="77777777" w:rsidR="006C4239" w:rsidRPr="006A1E11" w:rsidRDefault="006C4239" w:rsidP="006A1E11">
            <w:pPr>
              <w:ind w:left="1980"/>
              <w:jc w:val="both"/>
            </w:pPr>
          </w:p>
        </w:tc>
        <w:tc>
          <w:tcPr>
            <w:tcW w:w="4267" w:type="dxa"/>
          </w:tcPr>
          <w:p w14:paraId="56416525" w14:textId="77777777" w:rsidR="006C4239" w:rsidRPr="006A1E11" w:rsidRDefault="006C4239" w:rsidP="006A1E11">
            <w:pPr>
              <w:ind w:left="1980"/>
              <w:jc w:val="both"/>
            </w:pPr>
          </w:p>
        </w:tc>
      </w:tr>
      <w:tr w:rsidR="006C4239" w:rsidRPr="00D51AE5" w14:paraId="75BCA12E" w14:textId="2BB4EC6A" w:rsidTr="007639A7">
        <w:tc>
          <w:tcPr>
            <w:tcW w:w="6044" w:type="dxa"/>
          </w:tcPr>
          <w:p w14:paraId="4DF972F9" w14:textId="77777777" w:rsidR="006C4239" w:rsidRPr="00D51AE5" w:rsidRDefault="006C4239" w:rsidP="006C4239">
            <w:pPr>
              <w:pStyle w:val="ListParagraph"/>
              <w:numPr>
                <w:ilvl w:val="0"/>
                <w:numId w:val="45"/>
              </w:numPr>
              <w:ind w:left="1985" w:hanging="567"/>
              <w:jc w:val="both"/>
            </w:pPr>
            <w:r w:rsidRPr="00D51AE5">
              <w:rPr>
                <w:rFonts w:eastAsia="Arial"/>
              </w:rPr>
              <w:t xml:space="preserve">Upon receipt of the RR, HOEMD shall request IPO to confirm the occurrence of the technical problem. If so confirmed and the same prevented the timely submission, HOEMD, FS and/or LS shall evaluate the </w:t>
            </w:r>
            <w:r w:rsidRPr="00D51AE5">
              <w:rPr>
                <w:iCs/>
              </w:rPr>
              <w:t>OESC</w:t>
            </w:r>
            <w:r w:rsidRPr="00D51AE5">
              <w:rPr>
                <w:rFonts w:eastAsia="Arial"/>
              </w:rPr>
              <w:t xml:space="preserve"> Application considering the additional submission.</w:t>
            </w:r>
          </w:p>
        </w:tc>
        <w:tc>
          <w:tcPr>
            <w:tcW w:w="3590" w:type="dxa"/>
          </w:tcPr>
          <w:p w14:paraId="2EC56501" w14:textId="77777777" w:rsidR="006C4239" w:rsidRPr="006A1E11" w:rsidRDefault="006C4239" w:rsidP="006A1E11">
            <w:pPr>
              <w:ind w:left="360"/>
              <w:jc w:val="both"/>
              <w:rPr>
                <w:rFonts w:eastAsia="Arial"/>
              </w:rPr>
            </w:pPr>
          </w:p>
        </w:tc>
        <w:tc>
          <w:tcPr>
            <w:tcW w:w="4267" w:type="dxa"/>
          </w:tcPr>
          <w:p w14:paraId="56DE71AD" w14:textId="77777777" w:rsidR="006C4239" w:rsidRPr="006A1E11" w:rsidRDefault="006C4239" w:rsidP="006A1E11">
            <w:pPr>
              <w:ind w:left="360"/>
              <w:jc w:val="both"/>
              <w:rPr>
                <w:rFonts w:eastAsia="Arial"/>
              </w:rPr>
            </w:pPr>
          </w:p>
        </w:tc>
      </w:tr>
      <w:tr w:rsidR="006C4239" w:rsidRPr="00D51AE5" w14:paraId="3F117BFE" w14:textId="79ACB5C0" w:rsidTr="007639A7">
        <w:tc>
          <w:tcPr>
            <w:tcW w:w="6044" w:type="dxa"/>
          </w:tcPr>
          <w:p w14:paraId="78A723B3" w14:textId="77777777" w:rsidR="006C4239" w:rsidRPr="00D51AE5" w:rsidRDefault="006C4239" w:rsidP="006C4239">
            <w:pPr>
              <w:pStyle w:val="ListParagraph"/>
              <w:numPr>
                <w:ilvl w:val="0"/>
                <w:numId w:val="45"/>
              </w:numPr>
              <w:ind w:left="1985" w:hanging="567"/>
              <w:jc w:val="both"/>
            </w:pPr>
            <w:r w:rsidRPr="00D51AE5">
              <w:rPr>
                <w:rFonts w:eastAsia="Arial"/>
              </w:rPr>
              <w:t xml:space="preserve">If the </w:t>
            </w:r>
            <w:r w:rsidRPr="00D51AE5">
              <w:rPr>
                <w:iCs/>
              </w:rPr>
              <w:t>OESC</w:t>
            </w:r>
            <w:r w:rsidRPr="00D51AE5">
              <w:rPr>
                <w:rFonts w:eastAsia="Arial"/>
              </w:rPr>
              <w:t xml:space="preserve"> Application passes the evaluation, REMB shall grant the RR. Thereafter, HOEMD shall proceed in accordance with Section 5.9.3(a) of this Chapter. </w:t>
            </w:r>
          </w:p>
        </w:tc>
        <w:tc>
          <w:tcPr>
            <w:tcW w:w="3590" w:type="dxa"/>
          </w:tcPr>
          <w:p w14:paraId="3D8C52BD" w14:textId="77777777" w:rsidR="006C4239" w:rsidRPr="006A1E11" w:rsidRDefault="006C4239" w:rsidP="006A1E11">
            <w:pPr>
              <w:ind w:left="360"/>
              <w:jc w:val="both"/>
              <w:rPr>
                <w:rFonts w:eastAsia="Arial"/>
              </w:rPr>
            </w:pPr>
          </w:p>
        </w:tc>
        <w:tc>
          <w:tcPr>
            <w:tcW w:w="4267" w:type="dxa"/>
          </w:tcPr>
          <w:p w14:paraId="71C57FC2" w14:textId="77777777" w:rsidR="006C4239" w:rsidRPr="006A1E11" w:rsidRDefault="006C4239" w:rsidP="006A1E11">
            <w:pPr>
              <w:ind w:left="360"/>
              <w:jc w:val="both"/>
              <w:rPr>
                <w:rFonts w:eastAsia="Arial"/>
              </w:rPr>
            </w:pPr>
          </w:p>
        </w:tc>
      </w:tr>
      <w:tr w:rsidR="006C4239" w:rsidRPr="00D51AE5" w14:paraId="31105DF6" w14:textId="4F63B5DD" w:rsidTr="007639A7">
        <w:tc>
          <w:tcPr>
            <w:tcW w:w="6044" w:type="dxa"/>
          </w:tcPr>
          <w:p w14:paraId="73C6EA1D" w14:textId="77777777" w:rsidR="006C4239" w:rsidRPr="00D51AE5" w:rsidRDefault="006C4239" w:rsidP="006C4239">
            <w:pPr>
              <w:spacing w:line="276" w:lineRule="auto"/>
              <w:jc w:val="both"/>
              <w:outlineLvl w:val="1"/>
              <w:rPr>
                <w:rFonts w:ascii="Arial" w:hAnsi="Arial" w:cs="Arial"/>
                <w:lang w:val="en-US"/>
              </w:rPr>
            </w:pPr>
            <w:r w:rsidRPr="00D51AE5">
              <w:rPr>
                <w:rFonts w:ascii="Arial" w:hAnsi="Arial" w:cs="Arial"/>
                <w:lang w:val="en-US"/>
              </w:rPr>
              <w:t xml:space="preserve">5.10. </w:t>
            </w:r>
            <w:r w:rsidRPr="00D51AE5">
              <w:rPr>
                <w:rFonts w:ascii="Arial" w:hAnsi="Arial" w:cs="Arial"/>
                <w:lang w:val="en-US"/>
              </w:rPr>
              <w:tab/>
              <w:t xml:space="preserve">If the Ocean Energy Developer waived the Certificate of Authority during the pre-application process, HOEMD shall proceed with the application in accordance with Section 7.2 of this Chapter. </w:t>
            </w:r>
          </w:p>
        </w:tc>
        <w:tc>
          <w:tcPr>
            <w:tcW w:w="3590" w:type="dxa"/>
          </w:tcPr>
          <w:p w14:paraId="455962C8" w14:textId="77777777" w:rsidR="006C4239" w:rsidRPr="006A1E11" w:rsidRDefault="006C4239" w:rsidP="006A1E11">
            <w:pPr>
              <w:ind w:left="360"/>
              <w:jc w:val="both"/>
              <w:outlineLvl w:val="1"/>
            </w:pPr>
          </w:p>
        </w:tc>
        <w:tc>
          <w:tcPr>
            <w:tcW w:w="4267" w:type="dxa"/>
          </w:tcPr>
          <w:p w14:paraId="3F44C483" w14:textId="77777777" w:rsidR="006C4239" w:rsidRPr="006A1E11" w:rsidRDefault="006C4239" w:rsidP="006A1E11">
            <w:pPr>
              <w:ind w:left="360"/>
              <w:jc w:val="both"/>
              <w:outlineLvl w:val="1"/>
            </w:pPr>
          </w:p>
        </w:tc>
      </w:tr>
      <w:tr w:rsidR="006C4239" w:rsidRPr="00D51AE5" w14:paraId="54ED3B45" w14:textId="0102E959" w:rsidTr="007639A7">
        <w:tc>
          <w:tcPr>
            <w:tcW w:w="6044" w:type="dxa"/>
          </w:tcPr>
          <w:p w14:paraId="2287F5CB" w14:textId="77777777" w:rsidR="006C4239" w:rsidRPr="00D51AE5" w:rsidRDefault="006C4239" w:rsidP="006C4239">
            <w:pPr>
              <w:spacing w:line="276" w:lineRule="auto"/>
              <w:jc w:val="both"/>
              <w:outlineLvl w:val="1"/>
              <w:rPr>
                <w:rFonts w:ascii="Arial" w:hAnsi="Arial" w:cs="Arial"/>
                <w:b/>
                <w:bCs/>
                <w:lang w:val="en-US"/>
              </w:rPr>
            </w:pPr>
            <w:r w:rsidRPr="00D51AE5">
              <w:rPr>
                <w:rFonts w:ascii="Arial" w:hAnsi="Arial" w:cs="Arial"/>
                <w:b/>
                <w:bCs/>
                <w:lang w:val="en-US"/>
              </w:rPr>
              <w:t xml:space="preserve">Section 6. Terms of Certificate of Authority. </w:t>
            </w:r>
            <w:r w:rsidRPr="00D51AE5">
              <w:rPr>
                <w:rFonts w:ascii="Arial" w:hAnsi="Arial" w:cs="Arial"/>
                <w:lang w:val="en-US"/>
              </w:rPr>
              <w:t xml:space="preserve">The awardee of an </w:t>
            </w:r>
            <w:r w:rsidRPr="00D51AE5">
              <w:rPr>
                <w:rFonts w:ascii="Arial" w:hAnsi="Arial" w:cs="Arial"/>
                <w:iCs/>
                <w:lang w:val="en-US"/>
              </w:rPr>
              <w:t>OESC</w:t>
            </w:r>
            <w:r w:rsidRPr="00D51AE5">
              <w:rPr>
                <w:rFonts w:ascii="Arial" w:hAnsi="Arial" w:cs="Arial"/>
                <w:lang w:val="en-US"/>
              </w:rPr>
              <w:t xml:space="preserve"> shall have exclusive authority to procure permits or certifications and tenurial instruments needed for the exploration, development and utilization of the ocean energy resources within an area specified in the </w:t>
            </w:r>
            <w:r w:rsidRPr="00D51AE5">
              <w:rPr>
                <w:rFonts w:ascii="Arial" w:hAnsi="Arial" w:cs="Arial"/>
                <w:iCs/>
                <w:lang w:val="en-US"/>
              </w:rPr>
              <w:t>OESC</w:t>
            </w:r>
            <w:r w:rsidRPr="00D51AE5">
              <w:rPr>
                <w:rFonts w:ascii="Arial" w:hAnsi="Arial" w:cs="Arial"/>
                <w:lang w:val="en-US"/>
              </w:rPr>
              <w:t xml:space="preserve"> Application and conduct reconnaissance and other activities needed for pre-feasibility studies upon the issuance of Certificate of Authority by the DOE. </w:t>
            </w:r>
          </w:p>
        </w:tc>
        <w:tc>
          <w:tcPr>
            <w:tcW w:w="3590" w:type="dxa"/>
          </w:tcPr>
          <w:p w14:paraId="577B99BF" w14:textId="77777777" w:rsidR="006C4239" w:rsidRPr="006A1E11" w:rsidRDefault="006C4239" w:rsidP="006A1E11">
            <w:pPr>
              <w:ind w:left="360"/>
              <w:jc w:val="both"/>
              <w:outlineLvl w:val="1"/>
              <w:rPr>
                <w:b/>
                <w:bCs/>
              </w:rPr>
            </w:pPr>
          </w:p>
        </w:tc>
        <w:tc>
          <w:tcPr>
            <w:tcW w:w="4267" w:type="dxa"/>
          </w:tcPr>
          <w:p w14:paraId="67BEA2D1" w14:textId="77777777" w:rsidR="006C4239" w:rsidRPr="006A1E11" w:rsidRDefault="006C4239" w:rsidP="006A1E11">
            <w:pPr>
              <w:ind w:left="360"/>
              <w:jc w:val="both"/>
              <w:outlineLvl w:val="1"/>
              <w:rPr>
                <w:b/>
                <w:bCs/>
              </w:rPr>
            </w:pPr>
          </w:p>
        </w:tc>
      </w:tr>
      <w:tr w:rsidR="006C4239" w:rsidRPr="00D51AE5" w14:paraId="32524071" w14:textId="1E5B2E40" w:rsidTr="007639A7">
        <w:tc>
          <w:tcPr>
            <w:tcW w:w="6044" w:type="dxa"/>
          </w:tcPr>
          <w:p w14:paraId="21937DEA"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 xml:space="preserve">6.1 The Certificate of Authority shall be valid for a period not exceeding five (5) years. During its validity, the Certificate of Authority shall serve as the DOE’s exclusive endorsement for the Ocean Energy Developer to secure the necessary permits or certifications and tenurial instruments from government agencies, entities or instrumentalities having jurisdiction over any aspect of the hydropower operations. The denomination of each permit or certification or tenurial instrument to be procured for the ocean energy project shall be listed in the Certificate of Authority.  </w:t>
            </w:r>
          </w:p>
        </w:tc>
        <w:tc>
          <w:tcPr>
            <w:tcW w:w="3590" w:type="dxa"/>
          </w:tcPr>
          <w:p w14:paraId="7ABCFA78" w14:textId="77777777" w:rsidR="006C4239" w:rsidRPr="006A1E11" w:rsidRDefault="006C4239" w:rsidP="006A1E11">
            <w:pPr>
              <w:ind w:left="360"/>
              <w:jc w:val="both"/>
            </w:pPr>
          </w:p>
        </w:tc>
        <w:tc>
          <w:tcPr>
            <w:tcW w:w="4267" w:type="dxa"/>
          </w:tcPr>
          <w:p w14:paraId="2B09FE7B" w14:textId="77777777" w:rsidR="006C4239" w:rsidRPr="006A1E11" w:rsidRDefault="006C4239" w:rsidP="006A1E11">
            <w:pPr>
              <w:ind w:left="360"/>
              <w:jc w:val="both"/>
            </w:pPr>
          </w:p>
        </w:tc>
      </w:tr>
      <w:tr w:rsidR="006C4239" w:rsidRPr="00D51AE5" w14:paraId="602D2D49" w14:textId="416BC8DD" w:rsidTr="007639A7">
        <w:tc>
          <w:tcPr>
            <w:tcW w:w="6044" w:type="dxa"/>
          </w:tcPr>
          <w:p w14:paraId="14F04253" w14:textId="77777777" w:rsidR="006C4239" w:rsidRPr="00D51AE5" w:rsidRDefault="006C4239" w:rsidP="006C4239">
            <w:pPr>
              <w:pStyle w:val="ListParagraph"/>
              <w:numPr>
                <w:ilvl w:val="1"/>
                <w:numId w:val="46"/>
              </w:numPr>
              <w:ind w:left="709"/>
              <w:jc w:val="both"/>
            </w:pPr>
            <w:r w:rsidRPr="00D51AE5">
              <w:t xml:space="preserve">The Certificate of Authority shall reflect the metes and bounds of the area as proposed in the </w:t>
            </w:r>
            <w:r w:rsidRPr="00D51AE5">
              <w:rPr>
                <w:iCs/>
              </w:rPr>
              <w:t>OESC</w:t>
            </w:r>
            <w:r w:rsidRPr="00D51AE5">
              <w:t xml:space="preserve"> Application over which reconnaissance and other pre-feasibility activities may be conducted and permits and tenurial instruments may be secured by the Ocean Energy Developer for the project. For this purpose, a copy of the technical description of the area to be covered by the </w:t>
            </w:r>
            <w:r w:rsidRPr="00D51AE5">
              <w:rPr>
                <w:iCs/>
              </w:rPr>
              <w:t>OESC</w:t>
            </w:r>
            <w:r w:rsidRPr="00D51AE5">
              <w:t xml:space="preserve"> shall form part of the Certificate of Authority.</w:t>
            </w:r>
          </w:p>
        </w:tc>
        <w:tc>
          <w:tcPr>
            <w:tcW w:w="3590" w:type="dxa"/>
          </w:tcPr>
          <w:p w14:paraId="3E79730B" w14:textId="77777777" w:rsidR="006C4239" w:rsidRPr="006A1E11" w:rsidRDefault="006C4239" w:rsidP="006A1E11">
            <w:pPr>
              <w:ind w:left="1080"/>
              <w:jc w:val="both"/>
            </w:pPr>
          </w:p>
        </w:tc>
        <w:tc>
          <w:tcPr>
            <w:tcW w:w="4267" w:type="dxa"/>
          </w:tcPr>
          <w:p w14:paraId="5F058BAB" w14:textId="77777777" w:rsidR="006C4239" w:rsidRPr="006A1E11" w:rsidRDefault="006C4239" w:rsidP="006A1E11">
            <w:pPr>
              <w:ind w:left="1080"/>
              <w:jc w:val="both"/>
            </w:pPr>
          </w:p>
        </w:tc>
      </w:tr>
      <w:tr w:rsidR="006C4239" w:rsidRPr="00D51AE5" w14:paraId="52051A55" w14:textId="061BA7E6" w:rsidTr="007639A7">
        <w:tc>
          <w:tcPr>
            <w:tcW w:w="6044" w:type="dxa"/>
          </w:tcPr>
          <w:p w14:paraId="1F351220" w14:textId="77777777" w:rsidR="006C4239" w:rsidRPr="00D51AE5" w:rsidRDefault="006C4239" w:rsidP="006C4239">
            <w:pPr>
              <w:pStyle w:val="ListParagraph"/>
              <w:numPr>
                <w:ilvl w:val="1"/>
                <w:numId w:val="46"/>
              </w:numPr>
              <w:ind w:left="709"/>
              <w:jc w:val="both"/>
            </w:pPr>
            <w:r w:rsidRPr="00D51AE5">
              <w:t>The validity of the Certificate of Authority shall not be extendible. Any reconnaissance activity that is not conducted and/or permit or certification or tenurial instrument that remains unissued upon the lapse of the Certificate of Authority shall be procured and the necessary activities therefor conducted, as part of the Pre-Development Stage.</w:t>
            </w:r>
          </w:p>
        </w:tc>
        <w:tc>
          <w:tcPr>
            <w:tcW w:w="3590" w:type="dxa"/>
          </w:tcPr>
          <w:p w14:paraId="06C9016E" w14:textId="77777777" w:rsidR="006C4239" w:rsidRPr="006A1E11" w:rsidRDefault="006C4239" w:rsidP="006A1E11">
            <w:pPr>
              <w:ind w:left="1080"/>
              <w:jc w:val="both"/>
            </w:pPr>
          </w:p>
        </w:tc>
        <w:tc>
          <w:tcPr>
            <w:tcW w:w="4267" w:type="dxa"/>
          </w:tcPr>
          <w:p w14:paraId="6E04D3A1" w14:textId="77777777" w:rsidR="006C4239" w:rsidRPr="006A1E11" w:rsidRDefault="006C4239" w:rsidP="006A1E11">
            <w:pPr>
              <w:ind w:left="1080"/>
              <w:jc w:val="both"/>
            </w:pPr>
          </w:p>
        </w:tc>
      </w:tr>
      <w:tr w:rsidR="006C4239" w:rsidRPr="00D51AE5" w14:paraId="31DBB1CB" w14:textId="59391C56" w:rsidTr="007639A7">
        <w:tc>
          <w:tcPr>
            <w:tcW w:w="6044" w:type="dxa"/>
          </w:tcPr>
          <w:p w14:paraId="0E60C7BF" w14:textId="77777777" w:rsidR="006C4239" w:rsidRPr="00D51AE5" w:rsidRDefault="006C4239" w:rsidP="006C4239">
            <w:pPr>
              <w:pStyle w:val="ListParagraph"/>
              <w:numPr>
                <w:ilvl w:val="1"/>
                <w:numId w:val="46"/>
              </w:numPr>
              <w:ind w:left="709"/>
              <w:jc w:val="both"/>
            </w:pPr>
            <w:r w:rsidRPr="00D51AE5">
              <w:t>The Ocean Energy Developer shall have the option to shorten the period of validity of the Certificate of Authority or utilize its full term.</w:t>
            </w:r>
          </w:p>
        </w:tc>
        <w:tc>
          <w:tcPr>
            <w:tcW w:w="3590" w:type="dxa"/>
          </w:tcPr>
          <w:p w14:paraId="7925D3FA" w14:textId="77777777" w:rsidR="006C4239" w:rsidRPr="006A1E11" w:rsidRDefault="006C4239" w:rsidP="006A1E11">
            <w:pPr>
              <w:ind w:left="1080"/>
              <w:jc w:val="both"/>
            </w:pPr>
          </w:p>
        </w:tc>
        <w:tc>
          <w:tcPr>
            <w:tcW w:w="4267" w:type="dxa"/>
          </w:tcPr>
          <w:p w14:paraId="7F00E63B" w14:textId="77777777" w:rsidR="006C4239" w:rsidRPr="006A1E11" w:rsidRDefault="006C4239" w:rsidP="006A1E11">
            <w:pPr>
              <w:ind w:left="1080"/>
              <w:jc w:val="both"/>
            </w:pPr>
          </w:p>
        </w:tc>
      </w:tr>
      <w:tr w:rsidR="006C4239" w:rsidRPr="00D51AE5" w14:paraId="7663E346" w14:textId="501D1C0D" w:rsidTr="007639A7">
        <w:tc>
          <w:tcPr>
            <w:tcW w:w="6044" w:type="dxa"/>
          </w:tcPr>
          <w:p w14:paraId="493E4EDA" w14:textId="77777777" w:rsidR="006C4239" w:rsidRPr="00D51AE5" w:rsidRDefault="006C4239" w:rsidP="006C4239">
            <w:pPr>
              <w:spacing w:line="276" w:lineRule="auto"/>
              <w:contextualSpacing/>
              <w:jc w:val="both"/>
              <w:rPr>
                <w:rFonts w:ascii="Arial" w:hAnsi="Arial" w:cs="Arial"/>
                <w:lang w:val="en-US"/>
              </w:rPr>
            </w:pPr>
            <w:r w:rsidRPr="00D51AE5">
              <w:rPr>
                <w:rFonts w:ascii="Arial" w:hAnsi="Arial" w:cs="Arial"/>
                <w:lang w:val="en-US"/>
              </w:rPr>
              <w:t>6.4.1 If the Ocean Energy Developer opts to shorten the period of validity, it shall give written notice to the DOE with a request to execute the OESC and a proposed Work Program.</w:t>
            </w:r>
          </w:p>
        </w:tc>
        <w:tc>
          <w:tcPr>
            <w:tcW w:w="3590" w:type="dxa"/>
          </w:tcPr>
          <w:p w14:paraId="1E740D40" w14:textId="77777777" w:rsidR="006C4239" w:rsidRPr="006A1E11" w:rsidRDefault="006C4239" w:rsidP="006A1E11">
            <w:pPr>
              <w:ind w:left="360"/>
              <w:jc w:val="both"/>
            </w:pPr>
          </w:p>
        </w:tc>
        <w:tc>
          <w:tcPr>
            <w:tcW w:w="4267" w:type="dxa"/>
          </w:tcPr>
          <w:p w14:paraId="07C9F651" w14:textId="77777777" w:rsidR="006C4239" w:rsidRPr="006A1E11" w:rsidRDefault="006C4239" w:rsidP="006A1E11">
            <w:pPr>
              <w:ind w:left="360"/>
              <w:jc w:val="both"/>
            </w:pPr>
          </w:p>
        </w:tc>
      </w:tr>
      <w:tr w:rsidR="006C4239" w:rsidRPr="00D51AE5" w14:paraId="0BBA2A96" w14:textId="60D235F8" w:rsidTr="007639A7">
        <w:tc>
          <w:tcPr>
            <w:tcW w:w="6044" w:type="dxa"/>
          </w:tcPr>
          <w:p w14:paraId="08750129"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6.4.2</w:t>
            </w:r>
            <w:r w:rsidRPr="00D51AE5">
              <w:rPr>
                <w:rFonts w:ascii="Arial" w:hAnsi="Arial" w:cs="Arial"/>
                <w:lang w:val="en-US"/>
              </w:rPr>
              <w:tab/>
              <w:t>If the Ocean Energy Developer opts to utilize the full term, it shall give written notice to the DOE with a request to execute the OESC and a proposed Work Program not earlier than six (6) months but not later than three (3) months prior to the expiration of the validity of the Certificate of Authority.</w:t>
            </w:r>
          </w:p>
        </w:tc>
        <w:tc>
          <w:tcPr>
            <w:tcW w:w="3590" w:type="dxa"/>
          </w:tcPr>
          <w:p w14:paraId="594A7A47" w14:textId="77777777" w:rsidR="006C4239" w:rsidRPr="006A1E11" w:rsidRDefault="006C4239" w:rsidP="006A1E11">
            <w:pPr>
              <w:ind w:left="360"/>
              <w:jc w:val="both"/>
            </w:pPr>
          </w:p>
        </w:tc>
        <w:tc>
          <w:tcPr>
            <w:tcW w:w="4267" w:type="dxa"/>
          </w:tcPr>
          <w:p w14:paraId="7B6D654C" w14:textId="77777777" w:rsidR="006C4239" w:rsidRPr="006A1E11" w:rsidRDefault="006C4239" w:rsidP="006A1E11">
            <w:pPr>
              <w:ind w:left="360"/>
              <w:jc w:val="both"/>
            </w:pPr>
          </w:p>
        </w:tc>
      </w:tr>
      <w:tr w:rsidR="006C4239" w:rsidRPr="00D51AE5" w14:paraId="27BA02E9" w14:textId="2BECEA9B" w:rsidTr="007639A7">
        <w:tc>
          <w:tcPr>
            <w:tcW w:w="6044" w:type="dxa"/>
          </w:tcPr>
          <w:p w14:paraId="20E26143"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6.4.3 Failure of the Ocean Energy Developer to give written notice to the DOE within the period mentioned in the preceding paragraph shall be deemed an abandonment of the OESC Application, following the procedure set forth in Section 5.9.3(b)(iii).</w:t>
            </w:r>
          </w:p>
        </w:tc>
        <w:tc>
          <w:tcPr>
            <w:tcW w:w="3590" w:type="dxa"/>
          </w:tcPr>
          <w:p w14:paraId="38714ED2" w14:textId="77777777" w:rsidR="006C4239" w:rsidRPr="006A1E11" w:rsidRDefault="006C4239" w:rsidP="006A1E11">
            <w:pPr>
              <w:ind w:left="360"/>
              <w:jc w:val="both"/>
            </w:pPr>
          </w:p>
        </w:tc>
        <w:tc>
          <w:tcPr>
            <w:tcW w:w="4267" w:type="dxa"/>
          </w:tcPr>
          <w:p w14:paraId="3AF10FB4" w14:textId="77777777" w:rsidR="006C4239" w:rsidRPr="006A1E11" w:rsidRDefault="006C4239" w:rsidP="006A1E11">
            <w:pPr>
              <w:ind w:left="360"/>
              <w:jc w:val="both"/>
            </w:pPr>
          </w:p>
        </w:tc>
      </w:tr>
      <w:tr w:rsidR="006C4239" w:rsidRPr="00D51AE5" w14:paraId="098F062F" w14:textId="0748A124" w:rsidTr="007639A7">
        <w:tc>
          <w:tcPr>
            <w:tcW w:w="6044" w:type="dxa"/>
          </w:tcPr>
          <w:p w14:paraId="53373F95" w14:textId="77777777" w:rsidR="006C4239" w:rsidRPr="00D51AE5" w:rsidRDefault="006C4239" w:rsidP="006C4239">
            <w:pPr>
              <w:spacing w:line="276" w:lineRule="auto"/>
              <w:contextualSpacing/>
              <w:jc w:val="both"/>
              <w:rPr>
                <w:rFonts w:ascii="Arial" w:hAnsi="Arial" w:cs="Arial"/>
                <w:lang w:val="en-US"/>
              </w:rPr>
            </w:pPr>
            <w:r w:rsidRPr="00D51AE5">
              <w:rPr>
                <w:rFonts w:ascii="Arial" w:hAnsi="Arial" w:cs="Arial"/>
                <w:lang w:val="en-US"/>
              </w:rPr>
              <w:t xml:space="preserve">6.5 Within three (3) days from notice, HOEMD shall prepare REMB’s memorandum for the Secretary endorsing the execution of the </w:t>
            </w:r>
            <w:r w:rsidRPr="00D51AE5">
              <w:rPr>
                <w:rFonts w:ascii="Arial" w:hAnsi="Arial" w:cs="Arial"/>
                <w:iCs/>
                <w:lang w:val="en-US"/>
              </w:rPr>
              <w:t>OESC</w:t>
            </w:r>
            <w:r w:rsidRPr="00D51AE5">
              <w:rPr>
                <w:rFonts w:ascii="Arial" w:hAnsi="Arial" w:cs="Arial"/>
                <w:lang w:val="en-US"/>
              </w:rPr>
              <w:t xml:space="preserve"> in accordance with Section 7.2 of this Chapter.</w:t>
            </w:r>
            <w:r w:rsidRPr="00D51AE5">
              <w:rPr>
                <w:rFonts w:ascii="Arial" w:eastAsia="Arial" w:hAnsi="Arial" w:cs="Arial"/>
                <w:lang w:val="en-US"/>
              </w:rPr>
              <w:t xml:space="preserve"> </w:t>
            </w:r>
          </w:p>
        </w:tc>
        <w:tc>
          <w:tcPr>
            <w:tcW w:w="3590" w:type="dxa"/>
          </w:tcPr>
          <w:p w14:paraId="6764B279" w14:textId="77777777" w:rsidR="006C4239" w:rsidRPr="006A1E11" w:rsidRDefault="006C4239" w:rsidP="006A1E11">
            <w:pPr>
              <w:ind w:left="360"/>
              <w:jc w:val="both"/>
            </w:pPr>
          </w:p>
        </w:tc>
        <w:tc>
          <w:tcPr>
            <w:tcW w:w="4267" w:type="dxa"/>
          </w:tcPr>
          <w:p w14:paraId="085A8FB7" w14:textId="77777777" w:rsidR="006C4239" w:rsidRPr="006A1E11" w:rsidRDefault="006C4239" w:rsidP="006A1E11">
            <w:pPr>
              <w:ind w:left="360"/>
              <w:jc w:val="both"/>
            </w:pPr>
          </w:p>
        </w:tc>
      </w:tr>
      <w:tr w:rsidR="006C4239" w:rsidRPr="00D51AE5" w14:paraId="1E7BCC09" w14:textId="23BE940E" w:rsidTr="007639A7">
        <w:tc>
          <w:tcPr>
            <w:tcW w:w="6044" w:type="dxa"/>
          </w:tcPr>
          <w:p w14:paraId="0CB53340" w14:textId="77777777" w:rsidR="006C4239" w:rsidRPr="00D51AE5" w:rsidRDefault="006C4239" w:rsidP="006C4239">
            <w:pPr>
              <w:spacing w:line="276" w:lineRule="auto"/>
              <w:jc w:val="both"/>
              <w:outlineLvl w:val="1"/>
              <w:rPr>
                <w:rFonts w:ascii="Arial" w:hAnsi="Arial" w:cs="Arial"/>
                <w:b/>
                <w:bCs/>
                <w:i/>
                <w:iCs/>
                <w:lang w:val="en-US"/>
              </w:rPr>
            </w:pPr>
            <w:r w:rsidRPr="00D51AE5">
              <w:rPr>
                <w:rFonts w:ascii="Arial" w:hAnsi="Arial" w:cs="Arial"/>
                <w:b/>
                <w:bCs/>
                <w:lang w:val="en-US"/>
              </w:rPr>
              <w:t>Section 7. Award of Ocean Energy Service Contract and Registration of Ocean Energy Developers.</w:t>
            </w:r>
          </w:p>
        </w:tc>
        <w:tc>
          <w:tcPr>
            <w:tcW w:w="3590" w:type="dxa"/>
          </w:tcPr>
          <w:p w14:paraId="1DF18811" w14:textId="77777777" w:rsidR="006C4239" w:rsidRPr="006A1E11" w:rsidRDefault="006C4239" w:rsidP="006A1E11">
            <w:pPr>
              <w:ind w:left="360"/>
              <w:jc w:val="both"/>
              <w:outlineLvl w:val="1"/>
              <w:rPr>
                <w:b/>
                <w:bCs/>
              </w:rPr>
            </w:pPr>
          </w:p>
        </w:tc>
        <w:tc>
          <w:tcPr>
            <w:tcW w:w="4267" w:type="dxa"/>
          </w:tcPr>
          <w:p w14:paraId="61429EA6" w14:textId="77777777" w:rsidR="006C4239" w:rsidRPr="006A1E11" w:rsidRDefault="006C4239" w:rsidP="006A1E11">
            <w:pPr>
              <w:ind w:left="360"/>
              <w:jc w:val="both"/>
              <w:outlineLvl w:val="1"/>
              <w:rPr>
                <w:b/>
                <w:bCs/>
              </w:rPr>
            </w:pPr>
          </w:p>
        </w:tc>
      </w:tr>
      <w:tr w:rsidR="006C4239" w:rsidRPr="00D51AE5" w14:paraId="614C6D81" w14:textId="568576C3" w:rsidTr="007639A7">
        <w:tc>
          <w:tcPr>
            <w:tcW w:w="6044" w:type="dxa"/>
          </w:tcPr>
          <w:p w14:paraId="4417D4D3" w14:textId="77777777" w:rsidR="006C4239" w:rsidRPr="00D51AE5" w:rsidRDefault="006C4239" w:rsidP="006C4239">
            <w:pPr>
              <w:pStyle w:val="ListParagraph"/>
              <w:numPr>
                <w:ilvl w:val="1"/>
                <w:numId w:val="47"/>
              </w:numPr>
              <w:jc w:val="both"/>
            </w:pPr>
            <w:r w:rsidRPr="00D51AE5">
              <w:rPr>
                <w:b/>
                <w:bCs/>
              </w:rPr>
              <w:t xml:space="preserve">Issuance of Certificate of Authority. </w:t>
            </w:r>
            <w:r w:rsidRPr="00D51AE5">
              <w:t>After the approval of an OESC Application and before the execution of an OESC, the DOE shall issue a Certificate of Authority; Provided, that the Certificate of Authority may be waived in accordance with Section 6.4 of this Chapter.</w:t>
            </w:r>
          </w:p>
        </w:tc>
        <w:tc>
          <w:tcPr>
            <w:tcW w:w="3590" w:type="dxa"/>
          </w:tcPr>
          <w:p w14:paraId="45F32870" w14:textId="77777777" w:rsidR="006C4239" w:rsidRPr="006A1E11" w:rsidRDefault="006C4239" w:rsidP="006A1E11">
            <w:pPr>
              <w:ind w:left="1080"/>
              <w:jc w:val="both"/>
              <w:rPr>
                <w:b/>
                <w:bCs/>
              </w:rPr>
            </w:pPr>
          </w:p>
        </w:tc>
        <w:tc>
          <w:tcPr>
            <w:tcW w:w="4267" w:type="dxa"/>
          </w:tcPr>
          <w:p w14:paraId="5929F0FA" w14:textId="77777777" w:rsidR="006C4239" w:rsidRPr="006A1E11" w:rsidRDefault="006C4239" w:rsidP="006A1E11">
            <w:pPr>
              <w:ind w:left="1080"/>
              <w:jc w:val="both"/>
              <w:rPr>
                <w:b/>
                <w:bCs/>
              </w:rPr>
            </w:pPr>
          </w:p>
        </w:tc>
      </w:tr>
      <w:tr w:rsidR="006C4239" w:rsidRPr="00D51AE5" w14:paraId="46F461C4" w14:textId="6B2BBB43" w:rsidTr="007639A7">
        <w:tc>
          <w:tcPr>
            <w:tcW w:w="6044" w:type="dxa"/>
          </w:tcPr>
          <w:p w14:paraId="6E297181" w14:textId="77777777" w:rsidR="006C4239" w:rsidRPr="00D51AE5" w:rsidRDefault="006C4239" w:rsidP="006C4239">
            <w:pPr>
              <w:pStyle w:val="ListParagraph"/>
              <w:numPr>
                <w:ilvl w:val="1"/>
                <w:numId w:val="47"/>
              </w:numPr>
              <w:jc w:val="both"/>
            </w:pPr>
            <w:r w:rsidRPr="00D51AE5">
              <w:rPr>
                <w:b/>
                <w:bCs/>
              </w:rPr>
              <w:t>Signing of the Ocean Energy Service Contract.</w:t>
            </w:r>
            <w:r w:rsidRPr="00D51AE5">
              <w:t xml:space="preserve"> The following procedure shall govern the awarding of OESC:</w:t>
            </w:r>
          </w:p>
        </w:tc>
        <w:tc>
          <w:tcPr>
            <w:tcW w:w="3590" w:type="dxa"/>
          </w:tcPr>
          <w:p w14:paraId="6CFBCE8F" w14:textId="77777777" w:rsidR="006C4239" w:rsidRPr="006A1E11" w:rsidRDefault="006C4239" w:rsidP="006A1E11">
            <w:pPr>
              <w:ind w:left="1080"/>
              <w:jc w:val="both"/>
              <w:rPr>
                <w:b/>
                <w:bCs/>
              </w:rPr>
            </w:pPr>
          </w:p>
        </w:tc>
        <w:tc>
          <w:tcPr>
            <w:tcW w:w="4267" w:type="dxa"/>
          </w:tcPr>
          <w:p w14:paraId="07BBD940" w14:textId="77777777" w:rsidR="006C4239" w:rsidRPr="006A1E11" w:rsidRDefault="006C4239" w:rsidP="006A1E11">
            <w:pPr>
              <w:ind w:left="1080"/>
              <w:jc w:val="both"/>
              <w:rPr>
                <w:b/>
                <w:bCs/>
              </w:rPr>
            </w:pPr>
          </w:p>
        </w:tc>
      </w:tr>
      <w:tr w:rsidR="006C4239" w:rsidRPr="00D51AE5" w14:paraId="2CB6284E" w14:textId="190C230C" w:rsidTr="007639A7">
        <w:tc>
          <w:tcPr>
            <w:tcW w:w="6044" w:type="dxa"/>
          </w:tcPr>
          <w:p w14:paraId="26A89703" w14:textId="7C8B5608" w:rsidR="006C4239" w:rsidRPr="00D51AE5" w:rsidRDefault="006C4239" w:rsidP="006C4239">
            <w:pPr>
              <w:pStyle w:val="ListParagraph"/>
              <w:numPr>
                <w:ilvl w:val="2"/>
                <w:numId w:val="47"/>
              </w:numPr>
              <w:ind w:left="1985" w:hanging="567"/>
              <w:jc w:val="both"/>
            </w:pPr>
            <w:r w:rsidRPr="00D51AE5">
              <w:rPr>
                <w:b/>
                <w:bCs/>
              </w:rPr>
              <w:t xml:space="preserve">Notification of Award. </w:t>
            </w:r>
            <w:r w:rsidRPr="00D51AE5">
              <w:t>The DOE shall notify the selected (under the OCSP) or qualified (under Direct Application) OESC Applicant of the award of the OESC.</w:t>
            </w:r>
          </w:p>
        </w:tc>
        <w:tc>
          <w:tcPr>
            <w:tcW w:w="3590" w:type="dxa"/>
          </w:tcPr>
          <w:p w14:paraId="66B148D5" w14:textId="77777777" w:rsidR="006C4239" w:rsidRPr="006A1E11" w:rsidRDefault="006C4239" w:rsidP="006A1E11">
            <w:pPr>
              <w:ind w:left="1980"/>
              <w:jc w:val="both"/>
              <w:rPr>
                <w:b/>
                <w:bCs/>
              </w:rPr>
            </w:pPr>
          </w:p>
        </w:tc>
        <w:tc>
          <w:tcPr>
            <w:tcW w:w="4267" w:type="dxa"/>
          </w:tcPr>
          <w:p w14:paraId="01A9418E" w14:textId="77777777" w:rsidR="006C4239" w:rsidRPr="006A1E11" w:rsidRDefault="006C4239" w:rsidP="006A1E11">
            <w:pPr>
              <w:ind w:left="1980"/>
              <w:jc w:val="both"/>
              <w:rPr>
                <w:b/>
                <w:bCs/>
              </w:rPr>
            </w:pPr>
          </w:p>
        </w:tc>
      </w:tr>
      <w:tr w:rsidR="006C4239" w:rsidRPr="00D51AE5" w14:paraId="50FFDED9" w14:textId="49A0066C" w:rsidTr="007639A7">
        <w:tc>
          <w:tcPr>
            <w:tcW w:w="6044" w:type="dxa"/>
          </w:tcPr>
          <w:p w14:paraId="26958444" w14:textId="77777777" w:rsidR="006C4239" w:rsidRPr="00D51AE5" w:rsidRDefault="006C4239" w:rsidP="006C4239">
            <w:pPr>
              <w:pStyle w:val="ListParagraph"/>
              <w:numPr>
                <w:ilvl w:val="2"/>
                <w:numId w:val="47"/>
              </w:numPr>
              <w:ind w:left="1985" w:hanging="567"/>
              <w:jc w:val="both"/>
            </w:pPr>
            <w:r w:rsidRPr="00D51AE5">
              <w:rPr>
                <w:b/>
                <w:bCs/>
              </w:rPr>
              <w:t>Signing</w:t>
            </w:r>
            <w:r w:rsidRPr="00D51AE5">
              <w:rPr>
                <w:b/>
              </w:rPr>
              <w:t xml:space="preserve"> of the</w:t>
            </w:r>
            <w:r w:rsidRPr="00D51AE5">
              <w:rPr>
                <w:b/>
                <w:bCs/>
              </w:rPr>
              <w:t xml:space="preserve"> Ocean Energy Service Contract.</w:t>
            </w:r>
            <w:r w:rsidRPr="00D51AE5">
              <w:t xml:space="preserve"> The signing of the OESC shall be divided into two stages, namely: a) pre-signing by the OESC Applicant; and b) signing of the DOE Secretary.</w:t>
            </w:r>
          </w:p>
        </w:tc>
        <w:tc>
          <w:tcPr>
            <w:tcW w:w="3590" w:type="dxa"/>
          </w:tcPr>
          <w:p w14:paraId="42BA3E5B" w14:textId="77777777" w:rsidR="006C4239" w:rsidRPr="006A1E11" w:rsidRDefault="006C4239" w:rsidP="006A1E11">
            <w:pPr>
              <w:ind w:left="1980"/>
              <w:jc w:val="both"/>
              <w:rPr>
                <w:b/>
                <w:bCs/>
              </w:rPr>
            </w:pPr>
          </w:p>
        </w:tc>
        <w:tc>
          <w:tcPr>
            <w:tcW w:w="4267" w:type="dxa"/>
          </w:tcPr>
          <w:p w14:paraId="1B232ACA" w14:textId="77777777" w:rsidR="006C4239" w:rsidRPr="006A1E11" w:rsidRDefault="006C4239" w:rsidP="006A1E11">
            <w:pPr>
              <w:ind w:left="1980"/>
              <w:jc w:val="both"/>
              <w:rPr>
                <w:b/>
                <w:bCs/>
              </w:rPr>
            </w:pPr>
          </w:p>
        </w:tc>
      </w:tr>
      <w:tr w:rsidR="006C4239" w:rsidRPr="00D51AE5" w14:paraId="6BD94518" w14:textId="7047C793" w:rsidTr="007639A7">
        <w:tc>
          <w:tcPr>
            <w:tcW w:w="6044" w:type="dxa"/>
          </w:tcPr>
          <w:p w14:paraId="4782468C"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7.2.2.1.</w:t>
            </w:r>
            <w:r w:rsidRPr="00D51AE5">
              <w:rPr>
                <w:rFonts w:ascii="Arial" w:hAnsi="Arial" w:cs="Arial"/>
              </w:rPr>
              <w:tab/>
            </w:r>
            <w:r w:rsidRPr="00D51AE5">
              <w:rPr>
                <w:rFonts w:ascii="Arial" w:hAnsi="Arial" w:cs="Arial"/>
                <w:lang w:val="en-US"/>
              </w:rPr>
              <w:t>The REMB Supervising Assistant Secretary shall review the recommendation and endorse the same to the REMB Supervising Undersecretary within two (2) days from receipt thereof. The Undersecretary shall act on the endorsement within two (2) days from receipt of the documents. Within one (1) day from the concurrence of the Undersecretary with the REMB’s recommendation, the REMB Director shall require the OESC Applicant to pre-sign the original copies of the OESC following the prescribed template.</w:t>
            </w:r>
          </w:p>
        </w:tc>
        <w:tc>
          <w:tcPr>
            <w:tcW w:w="3590" w:type="dxa"/>
          </w:tcPr>
          <w:p w14:paraId="018E8692" w14:textId="77777777" w:rsidR="006C4239" w:rsidRPr="006A1E11" w:rsidRDefault="006C4239" w:rsidP="006A1E11">
            <w:pPr>
              <w:ind w:left="360"/>
              <w:jc w:val="both"/>
            </w:pPr>
          </w:p>
        </w:tc>
        <w:tc>
          <w:tcPr>
            <w:tcW w:w="4267" w:type="dxa"/>
          </w:tcPr>
          <w:p w14:paraId="0CC03888" w14:textId="77777777" w:rsidR="006C4239" w:rsidRPr="006A1E11" w:rsidRDefault="006C4239" w:rsidP="006A1E11">
            <w:pPr>
              <w:ind w:left="360"/>
              <w:jc w:val="both"/>
            </w:pPr>
          </w:p>
        </w:tc>
      </w:tr>
      <w:tr w:rsidR="006C4239" w:rsidRPr="00D51AE5" w14:paraId="3F118793" w14:textId="517A7809" w:rsidTr="007639A7">
        <w:tc>
          <w:tcPr>
            <w:tcW w:w="6044" w:type="dxa"/>
          </w:tcPr>
          <w:p w14:paraId="74A02753"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7.2.2.2.</w:t>
            </w:r>
            <w:r w:rsidRPr="00D51AE5">
              <w:rPr>
                <w:rFonts w:ascii="Arial" w:hAnsi="Arial" w:cs="Arial"/>
              </w:rPr>
              <w:tab/>
            </w:r>
            <w:r w:rsidRPr="00D51AE5">
              <w:rPr>
                <w:rFonts w:ascii="Arial" w:hAnsi="Arial" w:cs="Arial"/>
                <w:lang w:val="en-US"/>
              </w:rPr>
              <w:t>Within one (1) day, the HOEMD shall validate the pre-signed OESC, and shall forward the pre-signed OESC, along with the endorsement and all its attachments to the Office of the DOE Secretary.</w:t>
            </w:r>
          </w:p>
        </w:tc>
        <w:tc>
          <w:tcPr>
            <w:tcW w:w="3590" w:type="dxa"/>
          </w:tcPr>
          <w:p w14:paraId="4A9FAC27" w14:textId="77777777" w:rsidR="006C4239" w:rsidRPr="006A1E11" w:rsidRDefault="006C4239" w:rsidP="006A1E11">
            <w:pPr>
              <w:ind w:left="360"/>
              <w:jc w:val="both"/>
            </w:pPr>
          </w:p>
        </w:tc>
        <w:tc>
          <w:tcPr>
            <w:tcW w:w="4267" w:type="dxa"/>
          </w:tcPr>
          <w:p w14:paraId="625BCB2F" w14:textId="77777777" w:rsidR="006C4239" w:rsidRPr="006A1E11" w:rsidRDefault="006C4239" w:rsidP="006A1E11">
            <w:pPr>
              <w:ind w:left="360"/>
              <w:jc w:val="both"/>
            </w:pPr>
          </w:p>
        </w:tc>
      </w:tr>
      <w:tr w:rsidR="006C4239" w:rsidRPr="00D51AE5" w14:paraId="0183F7C8" w14:textId="2179B63D" w:rsidTr="007639A7">
        <w:tc>
          <w:tcPr>
            <w:tcW w:w="6044" w:type="dxa"/>
          </w:tcPr>
          <w:p w14:paraId="2A7910BD"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7.2.2.3.</w:t>
            </w:r>
            <w:r w:rsidRPr="00D51AE5">
              <w:rPr>
                <w:rFonts w:ascii="Arial" w:hAnsi="Arial" w:cs="Arial"/>
              </w:rPr>
              <w:tab/>
            </w:r>
            <w:r w:rsidRPr="00D51AE5">
              <w:rPr>
                <w:rFonts w:ascii="Arial" w:hAnsi="Arial" w:cs="Arial"/>
                <w:lang w:val="en-US"/>
              </w:rPr>
              <w:t>The Office of the DOE Secretary shall receive the pre-signed OESC and all its attachments, and the DOE Secretary shall act on the documents within seven (7) days from receipt thereof.</w:t>
            </w:r>
          </w:p>
        </w:tc>
        <w:tc>
          <w:tcPr>
            <w:tcW w:w="3590" w:type="dxa"/>
          </w:tcPr>
          <w:p w14:paraId="477BA56E" w14:textId="77777777" w:rsidR="006C4239" w:rsidRPr="006A1E11" w:rsidRDefault="006C4239" w:rsidP="006A1E11">
            <w:pPr>
              <w:ind w:left="360"/>
              <w:jc w:val="both"/>
            </w:pPr>
          </w:p>
        </w:tc>
        <w:tc>
          <w:tcPr>
            <w:tcW w:w="4267" w:type="dxa"/>
          </w:tcPr>
          <w:p w14:paraId="5550F689" w14:textId="77777777" w:rsidR="006C4239" w:rsidRPr="006A1E11" w:rsidRDefault="006C4239" w:rsidP="006A1E11">
            <w:pPr>
              <w:ind w:left="360"/>
              <w:jc w:val="both"/>
            </w:pPr>
          </w:p>
        </w:tc>
      </w:tr>
      <w:tr w:rsidR="006C4239" w:rsidRPr="00D51AE5" w14:paraId="27CFBF2B" w14:textId="485867F0" w:rsidTr="007639A7">
        <w:tc>
          <w:tcPr>
            <w:tcW w:w="6044" w:type="dxa"/>
          </w:tcPr>
          <w:p w14:paraId="48BD78CA" w14:textId="77777777" w:rsidR="006C4239" w:rsidRPr="00D51AE5" w:rsidRDefault="006C4239" w:rsidP="006C4239">
            <w:pPr>
              <w:spacing w:line="276" w:lineRule="auto"/>
              <w:jc w:val="both"/>
              <w:rPr>
                <w:rFonts w:ascii="Arial" w:hAnsi="Arial" w:cs="Arial"/>
                <w:strike/>
                <w:lang w:val="en-US"/>
              </w:rPr>
            </w:pPr>
            <w:r w:rsidRPr="00D51AE5">
              <w:rPr>
                <w:rFonts w:ascii="Arial" w:hAnsi="Arial" w:cs="Arial"/>
                <w:b/>
                <w:bCs/>
                <w:lang w:val="en-US"/>
              </w:rPr>
              <w:t>7.2.3 Payment of Signing Fee.</w:t>
            </w:r>
            <w:r w:rsidRPr="00D51AE5">
              <w:rPr>
                <w:rFonts w:ascii="Arial" w:hAnsi="Arial" w:cs="Arial"/>
                <w:lang w:val="en-US"/>
              </w:rPr>
              <w:t xml:space="preserve"> The HOEMD, through the EVOSS System, shall issue the Order of Payment within one (1) day. The OESC Applicant shall pay the signing fee within fifteen (15) days, which shall be paid directly to the Treasury, and post the performance bond, within the relevant period, covering the first contract year.</w:t>
            </w:r>
          </w:p>
        </w:tc>
        <w:tc>
          <w:tcPr>
            <w:tcW w:w="3590" w:type="dxa"/>
          </w:tcPr>
          <w:p w14:paraId="63869B66" w14:textId="77777777" w:rsidR="006C4239" w:rsidRPr="006A1E11" w:rsidRDefault="006C4239" w:rsidP="006A1E11">
            <w:pPr>
              <w:ind w:left="360"/>
              <w:jc w:val="both"/>
              <w:rPr>
                <w:b/>
                <w:bCs/>
              </w:rPr>
            </w:pPr>
          </w:p>
        </w:tc>
        <w:tc>
          <w:tcPr>
            <w:tcW w:w="4267" w:type="dxa"/>
          </w:tcPr>
          <w:p w14:paraId="029840AD" w14:textId="77777777" w:rsidR="006C4239" w:rsidRPr="006A1E11" w:rsidRDefault="006C4239" w:rsidP="006A1E11">
            <w:pPr>
              <w:ind w:left="360"/>
              <w:jc w:val="both"/>
              <w:rPr>
                <w:b/>
                <w:bCs/>
              </w:rPr>
            </w:pPr>
          </w:p>
        </w:tc>
      </w:tr>
      <w:tr w:rsidR="006C4239" w:rsidRPr="00D51AE5" w14:paraId="4DDA007F" w14:textId="4E216AA5" w:rsidTr="007639A7">
        <w:tc>
          <w:tcPr>
            <w:tcW w:w="6044" w:type="dxa"/>
          </w:tcPr>
          <w:p w14:paraId="71F48D34"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The OESC Applicant shall upload proof of payment of the signing fee within fifteen (15) days from receipt of notice. The failure of the Ocean Energy Developer to do so shall be deemed as an abandonment of the OESC Application and shall cause the revocation of the OESC. Further, non-posting of the performance bond within thirty (30) days from receipt of notice shall cause the OESC to be deemed void.</w:t>
            </w:r>
          </w:p>
        </w:tc>
        <w:tc>
          <w:tcPr>
            <w:tcW w:w="3590" w:type="dxa"/>
          </w:tcPr>
          <w:p w14:paraId="6C8AD96C" w14:textId="77777777" w:rsidR="006C4239" w:rsidRPr="006A1E11" w:rsidRDefault="006C4239" w:rsidP="006A1E11">
            <w:pPr>
              <w:ind w:left="360"/>
              <w:jc w:val="both"/>
            </w:pPr>
          </w:p>
        </w:tc>
        <w:tc>
          <w:tcPr>
            <w:tcW w:w="4267" w:type="dxa"/>
          </w:tcPr>
          <w:p w14:paraId="7305104F" w14:textId="77777777" w:rsidR="006C4239" w:rsidRPr="006A1E11" w:rsidRDefault="006C4239" w:rsidP="006A1E11">
            <w:pPr>
              <w:ind w:left="360"/>
              <w:jc w:val="both"/>
            </w:pPr>
          </w:p>
        </w:tc>
      </w:tr>
      <w:tr w:rsidR="006C4239" w:rsidRPr="00D51AE5" w14:paraId="7B1B3CC7" w14:textId="3CC327B7" w:rsidTr="007639A7">
        <w:tc>
          <w:tcPr>
            <w:tcW w:w="6044" w:type="dxa"/>
          </w:tcPr>
          <w:p w14:paraId="7E617039" w14:textId="77777777" w:rsidR="006C4239" w:rsidRPr="00D51AE5" w:rsidRDefault="006C4239" w:rsidP="006C4239">
            <w:pPr>
              <w:spacing w:line="276" w:lineRule="auto"/>
              <w:jc w:val="both"/>
              <w:rPr>
                <w:rFonts w:ascii="Arial" w:hAnsi="Arial" w:cs="Arial"/>
                <w:lang w:val="en-US"/>
              </w:rPr>
            </w:pPr>
            <w:r w:rsidRPr="00D51AE5">
              <w:rPr>
                <w:rFonts w:ascii="Arial" w:hAnsi="Arial" w:cs="Arial"/>
                <w:b/>
                <w:bCs/>
                <w:lang w:val="en-US"/>
              </w:rPr>
              <w:t xml:space="preserve">7.2.4 Delivery of the Signed Ocean Energy Service Contract. </w:t>
            </w:r>
            <w:r w:rsidRPr="00D51AE5">
              <w:rPr>
                <w:rFonts w:ascii="Arial" w:hAnsi="Arial" w:cs="Arial"/>
                <w:lang w:val="en-US"/>
              </w:rPr>
              <w:t>The HOEMD shall upload the signed and notarized copy of the OESC and COR, as applicable, and inform the Ocean Energy Developer to pick up the said documents. Simultaneous with the receipt of the OESC, the Ocean Energy Developer shall surrender to the DOE the Certificate of Authority issued pursuant to this Circular.</w:t>
            </w:r>
          </w:p>
        </w:tc>
        <w:tc>
          <w:tcPr>
            <w:tcW w:w="3590" w:type="dxa"/>
          </w:tcPr>
          <w:p w14:paraId="2F13E697" w14:textId="77777777" w:rsidR="006C4239" w:rsidRPr="006A1E11" w:rsidRDefault="006C4239" w:rsidP="006A1E11">
            <w:pPr>
              <w:ind w:left="360"/>
              <w:jc w:val="both"/>
              <w:rPr>
                <w:b/>
                <w:bCs/>
              </w:rPr>
            </w:pPr>
          </w:p>
        </w:tc>
        <w:tc>
          <w:tcPr>
            <w:tcW w:w="4267" w:type="dxa"/>
          </w:tcPr>
          <w:p w14:paraId="25D76329" w14:textId="77777777" w:rsidR="006C4239" w:rsidRPr="006A1E11" w:rsidRDefault="006C4239" w:rsidP="006A1E11">
            <w:pPr>
              <w:ind w:left="360"/>
              <w:jc w:val="both"/>
              <w:rPr>
                <w:b/>
                <w:bCs/>
              </w:rPr>
            </w:pPr>
          </w:p>
        </w:tc>
      </w:tr>
      <w:tr w:rsidR="006C4239" w:rsidRPr="00D51AE5" w14:paraId="53DE9809" w14:textId="51021CAB" w:rsidTr="007639A7">
        <w:tc>
          <w:tcPr>
            <w:tcW w:w="6044" w:type="dxa"/>
          </w:tcPr>
          <w:p w14:paraId="503D1F17" w14:textId="77777777" w:rsidR="006C4239" w:rsidRPr="00D51AE5" w:rsidRDefault="006C4239" w:rsidP="006C4239">
            <w:pPr>
              <w:spacing w:line="276" w:lineRule="auto"/>
              <w:jc w:val="both"/>
              <w:rPr>
                <w:rFonts w:ascii="Arial" w:hAnsi="Arial" w:cs="Arial"/>
                <w:lang w:val="en-US"/>
              </w:rPr>
            </w:pPr>
            <w:r w:rsidRPr="00D51AE5">
              <w:rPr>
                <w:rFonts w:ascii="Arial" w:hAnsi="Arial" w:cs="Arial"/>
                <w:b/>
                <w:bCs/>
                <w:lang w:val="en-US"/>
              </w:rPr>
              <w:t>7.2.5 Duty to Maintain Records.</w:t>
            </w:r>
            <w:r w:rsidRPr="00D51AE5">
              <w:rPr>
                <w:rFonts w:ascii="Arial" w:hAnsi="Arial" w:cs="Arial"/>
                <w:lang w:val="en-US"/>
              </w:rPr>
              <w:t xml:space="preserve"> The HOEMD shall maintain a record of all LOIs received, pending OESC Applications, and signed OESC in the EVOSS System.</w:t>
            </w:r>
          </w:p>
        </w:tc>
        <w:tc>
          <w:tcPr>
            <w:tcW w:w="3590" w:type="dxa"/>
          </w:tcPr>
          <w:p w14:paraId="6E41B9F7" w14:textId="77777777" w:rsidR="006C4239" w:rsidRPr="006A1E11" w:rsidRDefault="006C4239" w:rsidP="006A1E11">
            <w:pPr>
              <w:ind w:left="360"/>
              <w:jc w:val="both"/>
              <w:rPr>
                <w:b/>
                <w:bCs/>
              </w:rPr>
            </w:pPr>
          </w:p>
        </w:tc>
        <w:tc>
          <w:tcPr>
            <w:tcW w:w="4267" w:type="dxa"/>
          </w:tcPr>
          <w:p w14:paraId="59129CAB" w14:textId="77777777" w:rsidR="006C4239" w:rsidRPr="006A1E11" w:rsidRDefault="006C4239" w:rsidP="006A1E11">
            <w:pPr>
              <w:ind w:left="360"/>
              <w:jc w:val="both"/>
              <w:rPr>
                <w:b/>
                <w:bCs/>
              </w:rPr>
            </w:pPr>
          </w:p>
        </w:tc>
      </w:tr>
      <w:tr w:rsidR="006C4239" w:rsidRPr="00D51AE5" w14:paraId="62079A0F" w14:textId="6F1CB1DC" w:rsidTr="007639A7">
        <w:tc>
          <w:tcPr>
            <w:tcW w:w="6044" w:type="dxa"/>
          </w:tcPr>
          <w:p w14:paraId="3CC80F81"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7.2.6.</w:t>
            </w:r>
            <w:r w:rsidRPr="00D51AE5">
              <w:rPr>
                <w:rFonts w:ascii="Arial" w:hAnsi="Arial" w:cs="Arial"/>
                <w:b/>
                <w:bCs/>
                <w:lang w:val="en-US"/>
              </w:rPr>
              <w:tab/>
            </w:r>
            <w:r w:rsidRPr="00D51AE5">
              <w:rPr>
                <w:rFonts w:ascii="Arial" w:hAnsi="Arial" w:cs="Arial"/>
                <w:lang w:val="en-US"/>
              </w:rPr>
              <w:t>The ITMS shall make the area available to other applicants only when: a) the OESC Applicant failed to qualify; or b) withdraws or abandons its LOI or OESC Application, as the case may be, and only after due notice is given to the concerned interested participant/ OESC Applicant of such information by the REMB Supervising Assistant Secretary, copy furnishing the ITMS with the said notice. Once an area is declared to be available, subsequent OESC Applications covering the same may be allowed, and only on a first-come, first-served basis.</w:t>
            </w:r>
          </w:p>
        </w:tc>
        <w:tc>
          <w:tcPr>
            <w:tcW w:w="3590" w:type="dxa"/>
          </w:tcPr>
          <w:p w14:paraId="5AEF5EA0" w14:textId="77777777" w:rsidR="006C4239" w:rsidRPr="006A1E11" w:rsidRDefault="006C4239" w:rsidP="006A1E11">
            <w:pPr>
              <w:ind w:left="360"/>
              <w:jc w:val="both"/>
            </w:pPr>
          </w:p>
        </w:tc>
        <w:tc>
          <w:tcPr>
            <w:tcW w:w="4267" w:type="dxa"/>
          </w:tcPr>
          <w:p w14:paraId="3AE038FD" w14:textId="77777777" w:rsidR="006C4239" w:rsidRPr="006A1E11" w:rsidRDefault="006C4239" w:rsidP="006A1E11">
            <w:pPr>
              <w:ind w:left="360"/>
              <w:jc w:val="both"/>
            </w:pPr>
          </w:p>
        </w:tc>
      </w:tr>
      <w:tr w:rsidR="006C4239" w:rsidRPr="00D51AE5" w14:paraId="0708EF04" w14:textId="0ED6EB84" w:rsidTr="007639A7">
        <w:tc>
          <w:tcPr>
            <w:tcW w:w="6044" w:type="dxa"/>
          </w:tcPr>
          <w:p w14:paraId="1D9C0F70"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 xml:space="preserve">7.3 </w:t>
            </w:r>
            <w:r w:rsidRPr="00D51AE5">
              <w:rPr>
                <w:rFonts w:ascii="Arial" w:hAnsi="Arial" w:cs="Arial"/>
                <w:b/>
                <w:bCs/>
                <w:lang w:val="en-US"/>
              </w:rPr>
              <w:t>Registration of Ocean Energy Developers.</w:t>
            </w:r>
            <w:r w:rsidRPr="00D51AE5">
              <w:rPr>
                <w:rFonts w:ascii="Arial" w:hAnsi="Arial" w:cs="Arial"/>
                <w:lang w:val="en-US"/>
              </w:rPr>
              <w:t xml:space="preserve"> The DOE, through the REMB, shall issue a COR to an Ocean Energy Developer holding a valid OESC for purposes of entitlement to the incentives under Chapter IX of this Circular upon the issuance of the COCOC. Notwithstanding the foregoing, the issuance of a COR may be availed of upon the award of the OESC, at the option of the Ocean Energy Developer.</w:t>
            </w:r>
          </w:p>
        </w:tc>
        <w:tc>
          <w:tcPr>
            <w:tcW w:w="3590" w:type="dxa"/>
          </w:tcPr>
          <w:p w14:paraId="62558FD1" w14:textId="77777777" w:rsidR="006C4239" w:rsidRPr="006A1E11" w:rsidRDefault="006C4239" w:rsidP="006A1E11">
            <w:pPr>
              <w:ind w:left="360"/>
              <w:jc w:val="both"/>
            </w:pPr>
          </w:p>
        </w:tc>
        <w:tc>
          <w:tcPr>
            <w:tcW w:w="4267" w:type="dxa"/>
          </w:tcPr>
          <w:p w14:paraId="6615E91D" w14:textId="77777777" w:rsidR="006C4239" w:rsidRPr="006A1E11" w:rsidRDefault="006C4239" w:rsidP="006A1E11">
            <w:pPr>
              <w:ind w:left="360"/>
              <w:jc w:val="both"/>
            </w:pPr>
          </w:p>
        </w:tc>
      </w:tr>
      <w:tr w:rsidR="006C4239" w:rsidRPr="00D51AE5" w14:paraId="53DAA71E" w14:textId="4BC446BA" w:rsidTr="007639A7">
        <w:tc>
          <w:tcPr>
            <w:tcW w:w="6044" w:type="dxa"/>
          </w:tcPr>
          <w:p w14:paraId="05381718" w14:textId="77777777" w:rsidR="006C4239" w:rsidRPr="00D51AE5" w:rsidRDefault="006C4239" w:rsidP="006C4239">
            <w:pPr>
              <w:spacing w:line="276" w:lineRule="auto"/>
              <w:jc w:val="both"/>
              <w:rPr>
                <w:rFonts w:ascii="Arial" w:hAnsi="Arial" w:cs="Arial"/>
                <w:lang w:val="en-US"/>
              </w:rPr>
            </w:pPr>
            <w:r w:rsidRPr="00D51AE5">
              <w:rPr>
                <w:rFonts w:ascii="Arial" w:hAnsi="Arial" w:cs="Arial"/>
                <w:b/>
                <w:lang w:val="en-US"/>
              </w:rPr>
              <w:t>Section</w:t>
            </w:r>
            <w:r w:rsidRPr="00D51AE5">
              <w:rPr>
                <w:rFonts w:ascii="Arial" w:hAnsi="Arial" w:cs="Arial"/>
                <w:b/>
                <w:spacing w:val="-1"/>
                <w:lang w:val="en-US"/>
              </w:rPr>
              <w:t xml:space="preserve"> </w:t>
            </w:r>
            <w:r w:rsidRPr="00D51AE5">
              <w:rPr>
                <w:rFonts w:ascii="Arial" w:hAnsi="Arial" w:cs="Arial"/>
                <w:b/>
                <w:lang w:val="en-US"/>
              </w:rPr>
              <w:t>8.</w:t>
            </w:r>
            <w:r w:rsidRPr="00D51AE5">
              <w:rPr>
                <w:rFonts w:ascii="Arial" w:hAnsi="Arial" w:cs="Arial"/>
                <w:b/>
                <w:spacing w:val="-5"/>
                <w:lang w:val="en-US"/>
              </w:rPr>
              <w:t xml:space="preserve"> Terms of</w:t>
            </w:r>
            <w:r w:rsidRPr="00D51AE5">
              <w:rPr>
                <w:rFonts w:ascii="Arial" w:hAnsi="Arial" w:cs="Arial"/>
                <w:b/>
                <w:lang w:val="en-US"/>
              </w:rPr>
              <w:t xml:space="preserve"> Ocean</w:t>
            </w:r>
            <w:r w:rsidRPr="00D51AE5">
              <w:rPr>
                <w:rFonts w:ascii="Arial" w:hAnsi="Arial" w:cs="Arial"/>
                <w:b/>
                <w:spacing w:val="-1"/>
                <w:lang w:val="en-US"/>
              </w:rPr>
              <w:t xml:space="preserve"> </w:t>
            </w:r>
            <w:r w:rsidRPr="00D51AE5">
              <w:rPr>
                <w:rFonts w:ascii="Arial" w:hAnsi="Arial" w:cs="Arial"/>
                <w:b/>
                <w:lang w:val="en-US"/>
              </w:rPr>
              <w:t xml:space="preserve">Energy Service Contract. </w:t>
            </w:r>
            <w:r w:rsidRPr="00D51AE5">
              <w:rPr>
                <w:rFonts w:ascii="Arial" w:hAnsi="Arial" w:cs="Arial"/>
                <w:lang w:val="en-US"/>
              </w:rPr>
              <w:t>The</w:t>
            </w:r>
            <w:r w:rsidRPr="00D51AE5">
              <w:rPr>
                <w:rFonts w:ascii="Arial" w:hAnsi="Arial" w:cs="Arial"/>
                <w:spacing w:val="-3"/>
                <w:lang w:val="en-US"/>
              </w:rPr>
              <w:t xml:space="preserve"> </w:t>
            </w:r>
            <w:r w:rsidRPr="00D51AE5">
              <w:rPr>
                <w:rFonts w:ascii="Arial" w:hAnsi="Arial" w:cs="Arial"/>
                <w:lang w:val="en-US"/>
              </w:rPr>
              <w:t>development</w:t>
            </w:r>
            <w:r w:rsidRPr="00D51AE5">
              <w:rPr>
                <w:rFonts w:ascii="Arial" w:hAnsi="Arial" w:cs="Arial"/>
                <w:spacing w:val="-1"/>
                <w:lang w:val="en-US"/>
              </w:rPr>
              <w:t xml:space="preserve"> </w:t>
            </w:r>
            <w:r w:rsidRPr="00D51AE5">
              <w:rPr>
                <w:rFonts w:ascii="Arial" w:hAnsi="Arial" w:cs="Arial"/>
                <w:lang w:val="en-US"/>
              </w:rPr>
              <w:t>of</w:t>
            </w:r>
            <w:r w:rsidRPr="00D51AE5">
              <w:rPr>
                <w:rFonts w:ascii="Arial" w:hAnsi="Arial" w:cs="Arial"/>
                <w:spacing w:val="-1"/>
                <w:lang w:val="en-US"/>
              </w:rPr>
              <w:t xml:space="preserve"> </w:t>
            </w:r>
            <w:r w:rsidRPr="00D51AE5">
              <w:rPr>
                <w:rFonts w:ascii="Arial" w:hAnsi="Arial" w:cs="Arial"/>
                <w:lang w:val="en-US"/>
              </w:rPr>
              <w:t>ocean</w:t>
            </w:r>
            <w:r w:rsidRPr="00D51AE5">
              <w:rPr>
                <w:rFonts w:ascii="Arial" w:hAnsi="Arial" w:cs="Arial"/>
                <w:spacing w:val="-3"/>
                <w:lang w:val="en-US"/>
              </w:rPr>
              <w:t xml:space="preserve"> </w:t>
            </w:r>
            <w:r w:rsidRPr="00D51AE5">
              <w:rPr>
                <w:rFonts w:ascii="Arial" w:hAnsi="Arial" w:cs="Arial"/>
                <w:lang w:val="en-US"/>
              </w:rPr>
              <w:t>energy</w:t>
            </w:r>
            <w:r w:rsidRPr="00D51AE5">
              <w:rPr>
                <w:rFonts w:ascii="Arial" w:hAnsi="Arial" w:cs="Arial"/>
                <w:spacing w:val="-2"/>
                <w:lang w:val="en-US"/>
              </w:rPr>
              <w:t xml:space="preserve"> </w:t>
            </w:r>
            <w:r w:rsidRPr="00D51AE5">
              <w:rPr>
                <w:rFonts w:ascii="Arial" w:hAnsi="Arial" w:cs="Arial"/>
                <w:lang w:val="en-US"/>
              </w:rPr>
              <w:t>resources shall</w:t>
            </w:r>
            <w:r w:rsidRPr="00D51AE5">
              <w:rPr>
                <w:rFonts w:ascii="Arial" w:hAnsi="Arial" w:cs="Arial"/>
                <w:spacing w:val="-2"/>
                <w:lang w:val="en-US"/>
              </w:rPr>
              <w:t xml:space="preserve"> </w:t>
            </w:r>
            <w:r w:rsidRPr="00D51AE5">
              <w:rPr>
                <w:rFonts w:ascii="Arial" w:hAnsi="Arial" w:cs="Arial"/>
                <w:lang w:val="en-US"/>
              </w:rPr>
              <w:t>be</w:t>
            </w:r>
            <w:r w:rsidRPr="00D51AE5">
              <w:rPr>
                <w:rFonts w:ascii="Arial" w:hAnsi="Arial" w:cs="Arial"/>
                <w:spacing w:val="-2"/>
                <w:lang w:val="en-US"/>
              </w:rPr>
              <w:t xml:space="preserve"> </w:t>
            </w:r>
            <w:r w:rsidRPr="00D51AE5">
              <w:rPr>
                <w:rFonts w:ascii="Arial" w:hAnsi="Arial" w:cs="Arial"/>
                <w:lang w:val="en-US"/>
              </w:rPr>
              <w:t>covered</w:t>
            </w:r>
            <w:r w:rsidRPr="00D51AE5">
              <w:rPr>
                <w:rFonts w:ascii="Arial" w:hAnsi="Arial" w:cs="Arial"/>
                <w:spacing w:val="-2"/>
                <w:lang w:val="en-US"/>
              </w:rPr>
              <w:t xml:space="preserve"> </w:t>
            </w:r>
            <w:r w:rsidRPr="00D51AE5">
              <w:rPr>
                <w:rFonts w:ascii="Arial" w:hAnsi="Arial" w:cs="Arial"/>
                <w:lang w:val="en-US"/>
              </w:rPr>
              <w:t>by an</w:t>
            </w:r>
            <w:r w:rsidRPr="00D51AE5">
              <w:rPr>
                <w:rFonts w:ascii="Arial" w:hAnsi="Arial" w:cs="Arial"/>
                <w:spacing w:val="-1"/>
                <w:lang w:val="en-US"/>
              </w:rPr>
              <w:t xml:space="preserve"> </w:t>
            </w:r>
            <w:r w:rsidRPr="00D51AE5">
              <w:rPr>
                <w:rFonts w:ascii="Arial" w:hAnsi="Arial" w:cs="Arial"/>
                <w:iCs/>
                <w:lang w:val="en-US"/>
              </w:rPr>
              <w:t>OESC</w:t>
            </w:r>
            <w:r w:rsidRPr="00D51AE5">
              <w:rPr>
                <w:rFonts w:ascii="Arial" w:hAnsi="Arial" w:cs="Arial"/>
                <w:lang w:val="en-US"/>
              </w:rPr>
              <w:t xml:space="preserve"> following</w:t>
            </w:r>
            <w:r w:rsidRPr="00D51AE5">
              <w:rPr>
                <w:rFonts w:ascii="Arial" w:hAnsi="Arial" w:cs="Arial"/>
                <w:spacing w:val="-2"/>
                <w:lang w:val="en-US"/>
              </w:rPr>
              <w:t xml:space="preserve"> </w:t>
            </w:r>
            <w:r w:rsidRPr="00D51AE5">
              <w:rPr>
                <w:rFonts w:ascii="Arial" w:hAnsi="Arial" w:cs="Arial"/>
                <w:lang w:val="en-US"/>
              </w:rPr>
              <w:t>the</w:t>
            </w:r>
            <w:r w:rsidRPr="00D51AE5">
              <w:rPr>
                <w:rFonts w:ascii="Arial" w:hAnsi="Arial" w:cs="Arial"/>
                <w:spacing w:val="-2"/>
                <w:lang w:val="en-US"/>
              </w:rPr>
              <w:t xml:space="preserve"> </w:t>
            </w:r>
            <w:r w:rsidRPr="00D51AE5">
              <w:rPr>
                <w:rFonts w:ascii="Arial" w:hAnsi="Arial" w:cs="Arial"/>
                <w:lang w:val="en-US"/>
              </w:rPr>
              <w:t>prescribed template (Annex E).</w:t>
            </w:r>
          </w:p>
        </w:tc>
        <w:tc>
          <w:tcPr>
            <w:tcW w:w="3590" w:type="dxa"/>
          </w:tcPr>
          <w:p w14:paraId="4439CEDE" w14:textId="77777777" w:rsidR="006C4239" w:rsidRPr="006A1E11" w:rsidRDefault="006C4239" w:rsidP="006A1E11">
            <w:pPr>
              <w:ind w:left="360"/>
              <w:jc w:val="both"/>
              <w:rPr>
                <w:b/>
              </w:rPr>
            </w:pPr>
          </w:p>
        </w:tc>
        <w:tc>
          <w:tcPr>
            <w:tcW w:w="4267" w:type="dxa"/>
          </w:tcPr>
          <w:p w14:paraId="43DA26E3" w14:textId="77777777" w:rsidR="006C4239" w:rsidRPr="006A1E11" w:rsidRDefault="006C4239" w:rsidP="006A1E11">
            <w:pPr>
              <w:ind w:left="360"/>
              <w:jc w:val="both"/>
              <w:rPr>
                <w:b/>
              </w:rPr>
            </w:pPr>
          </w:p>
        </w:tc>
      </w:tr>
      <w:tr w:rsidR="006C4239" w:rsidRPr="00D51AE5" w14:paraId="37BB1526" w14:textId="3511158F" w:rsidTr="007639A7">
        <w:tc>
          <w:tcPr>
            <w:tcW w:w="6044" w:type="dxa"/>
          </w:tcPr>
          <w:p w14:paraId="6EFB3F5F"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8.1The Ocean Energy Developer shall be given a non-extendible period of five (5) years from the date of execution of the OESC to determine the existence of ocean power resource in Commercial Quantities and shall be called Pre-Development Stage.</w:t>
            </w:r>
          </w:p>
        </w:tc>
        <w:tc>
          <w:tcPr>
            <w:tcW w:w="3590" w:type="dxa"/>
          </w:tcPr>
          <w:p w14:paraId="7332EBC5" w14:textId="77777777" w:rsidR="006C4239" w:rsidRPr="006A1E11" w:rsidRDefault="006C4239" w:rsidP="006A1E11">
            <w:pPr>
              <w:ind w:left="360"/>
              <w:jc w:val="both"/>
            </w:pPr>
          </w:p>
        </w:tc>
        <w:tc>
          <w:tcPr>
            <w:tcW w:w="4267" w:type="dxa"/>
          </w:tcPr>
          <w:p w14:paraId="6B74DCDF" w14:textId="77777777" w:rsidR="006C4239" w:rsidRPr="006A1E11" w:rsidRDefault="006C4239" w:rsidP="006A1E11">
            <w:pPr>
              <w:ind w:left="360"/>
              <w:jc w:val="both"/>
            </w:pPr>
          </w:p>
        </w:tc>
      </w:tr>
      <w:tr w:rsidR="006C4239" w:rsidRPr="00D51AE5" w14:paraId="443DD57A" w14:textId="2DA84F7B" w:rsidTr="007639A7">
        <w:tc>
          <w:tcPr>
            <w:tcW w:w="6044" w:type="dxa"/>
          </w:tcPr>
          <w:p w14:paraId="60F5795D" w14:textId="77777777" w:rsidR="006C4239" w:rsidRPr="00D51AE5" w:rsidRDefault="006C4239" w:rsidP="006C4239">
            <w:pPr>
              <w:pStyle w:val="ListParagraph"/>
              <w:numPr>
                <w:ilvl w:val="1"/>
                <w:numId w:val="48"/>
              </w:numPr>
              <w:ind w:hanging="436"/>
              <w:jc w:val="both"/>
            </w:pPr>
            <w:r w:rsidRPr="00D51AE5">
              <w:t>The Development/Commercial Stage shall commence prior to the expiration of the Pre-Development Stage and upon the issuance of the Certificate of Confirmation of Commerciality (COCOC), and shall continue for the remainder of term of the OESC.</w:t>
            </w:r>
          </w:p>
        </w:tc>
        <w:tc>
          <w:tcPr>
            <w:tcW w:w="3590" w:type="dxa"/>
          </w:tcPr>
          <w:p w14:paraId="4BFAD27E" w14:textId="77777777" w:rsidR="006C4239" w:rsidRPr="006A1E11" w:rsidRDefault="006C4239" w:rsidP="006A1E11">
            <w:pPr>
              <w:ind w:left="1080"/>
              <w:jc w:val="both"/>
            </w:pPr>
          </w:p>
        </w:tc>
        <w:tc>
          <w:tcPr>
            <w:tcW w:w="4267" w:type="dxa"/>
          </w:tcPr>
          <w:p w14:paraId="2CFDE4AC" w14:textId="77777777" w:rsidR="006C4239" w:rsidRPr="006A1E11" w:rsidRDefault="006C4239" w:rsidP="006A1E11">
            <w:pPr>
              <w:ind w:left="1080"/>
              <w:jc w:val="both"/>
            </w:pPr>
          </w:p>
        </w:tc>
      </w:tr>
      <w:tr w:rsidR="006C4239" w:rsidRPr="00D51AE5" w14:paraId="380FE6DE" w14:textId="36B723DA" w:rsidTr="007639A7">
        <w:tc>
          <w:tcPr>
            <w:tcW w:w="6044" w:type="dxa"/>
          </w:tcPr>
          <w:p w14:paraId="741A8291" w14:textId="77777777" w:rsidR="006C4239" w:rsidRPr="00D51AE5" w:rsidRDefault="006C4239" w:rsidP="006C4239">
            <w:pPr>
              <w:spacing w:line="276" w:lineRule="auto"/>
              <w:jc w:val="both"/>
              <w:outlineLvl w:val="1"/>
              <w:rPr>
                <w:rFonts w:ascii="Arial" w:hAnsi="Arial" w:cs="Arial"/>
                <w:lang w:val="en-US"/>
              </w:rPr>
            </w:pPr>
            <w:r w:rsidRPr="00D51AE5">
              <w:rPr>
                <w:rFonts w:ascii="Arial" w:hAnsi="Arial" w:cs="Arial"/>
                <w:lang w:val="en-US"/>
              </w:rPr>
              <w:t>8.3</w:t>
            </w:r>
            <w:r w:rsidRPr="00D51AE5">
              <w:rPr>
                <w:rFonts w:ascii="Arial" w:hAnsi="Arial" w:cs="Arial"/>
                <w:lang w:val="en-US"/>
              </w:rPr>
              <w:tab/>
              <w:t>The OESC shall have a term of twenty-five (25) years from the date of execution, which shall include the Pre-Development Stage and Development/Commercial Stage but shall exclude the period covered by the Certificate of Authority.</w:t>
            </w:r>
          </w:p>
        </w:tc>
        <w:tc>
          <w:tcPr>
            <w:tcW w:w="3590" w:type="dxa"/>
          </w:tcPr>
          <w:p w14:paraId="04618606" w14:textId="77777777" w:rsidR="006C4239" w:rsidRPr="006A1E11" w:rsidRDefault="006C4239" w:rsidP="006A1E11">
            <w:pPr>
              <w:ind w:left="360"/>
              <w:jc w:val="both"/>
              <w:outlineLvl w:val="1"/>
            </w:pPr>
          </w:p>
        </w:tc>
        <w:tc>
          <w:tcPr>
            <w:tcW w:w="4267" w:type="dxa"/>
          </w:tcPr>
          <w:p w14:paraId="2AE73B5D" w14:textId="77777777" w:rsidR="006C4239" w:rsidRPr="006A1E11" w:rsidRDefault="006C4239" w:rsidP="006A1E11">
            <w:pPr>
              <w:ind w:left="360"/>
              <w:jc w:val="both"/>
              <w:outlineLvl w:val="1"/>
            </w:pPr>
          </w:p>
        </w:tc>
      </w:tr>
      <w:tr w:rsidR="006C4239" w:rsidRPr="00D51AE5" w14:paraId="1E046F64" w14:textId="0C61CCD7" w:rsidTr="007639A7">
        <w:tc>
          <w:tcPr>
            <w:tcW w:w="6044" w:type="dxa"/>
          </w:tcPr>
          <w:p w14:paraId="5E813613"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8.4</w:t>
            </w:r>
            <w:r w:rsidRPr="00D51AE5">
              <w:rPr>
                <w:rFonts w:ascii="Arial" w:hAnsi="Arial" w:cs="Arial"/>
                <w:lang w:val="en-US"/>
              </w:rPr>
              <w:tab/>
              <w:t>Not earlier than six (6) months prior to the expiration of the twenty-five (25) year period, the OESC may be renewed for another twenty-five (25) years, subject to the terms and conditions of the OESC.</w:t>
            </w:r>
          </w:p>
        </w:tc>
        <w:tc>
          <w:tcPr>
            <w:tcW w:w="3590" w:type="dxa"/>
          </w:tcPr>
          <w:p w14:paraId="51121E30" w14:textId="77777777" w:rsidR="006C4239" w:rsidRPr="006A1E11" w:rsidRDefault="006C4239" w:rsidP="006A1E11">
            <w:pPr>
              <w:ind w:left="360"/>
              <w:jc w:val="both"/>
            </w:pPr>
          </w:p>
        </w:tc>
        <w:tc>
          <w:tcPr>
            <w:tcW w:w="4267" w:type="dxa"/>
          </w:tcPr>
          <w:p w14:paraId="1EFC09E8" w14:textId="77777777" w:rsidR="006C4239" w:rsidRPr="006A1E11" w:rsidRDefault="006C4239" w:rsidP="006A1E11">
            <w:pPr>
              <w:ind w:left="360"/>
              <w:jc w:val="both"/>
            </w:pPr>
          </w:p>
        </w:tc>
      </w:tr>
      <w:tr w:rsidR="006C4239" w:rsidRPr="00D51AE5" w14:paraId="3C0EC1BC" w14:textId="45E68C07" w:rsidTr="007639A7">
        <w:tc>
          <w:tcPr>
            <w:tcW w:w="6044" w:type="dxa"/>
          </w:tcPr>
          <w:p w14:paraId="04DD623F" w14:textId="77777777" w:rsidR="006C4239" w:rsidRPr="00D51AE5" w:rsidRDefault="006C4239" w:rsidP="006C4239">
            <w:pPr>
              <w:spacing w:line="276" w:lineRule="auto"/>
              <w:jc w:val="both"/>
              <w:rPr>
                <w:rFonts w:ascii="Arial" w:hAnsi="Arial" w:cs="Arial"/>
                <w:b/>
                <w:bCs/>
                <w:lang w:val="en-US"/>
              </w:rPr>
            </w:pPr>
            <w:r w:rsidRPr="00D51AE5">
              <w:rPr>
                <w:rFonts w:ascii="Arial" w:hAnsi="Arial" w:cs="Arial"/>
                <w:b/>
                <w:bCs/>
                <w:lang w:val="en-US"/>
              </w:rPr>
              <w:t>Section 9. Stages of Ocean Energy Contract.</w:t>
            </w:r>
          </w:p>
        </w:tc>
        <w:tc>
          <w:tcPr>
            <w:tcW w:w="3590" w:type="dxa"/>
          </w:tcPr>
          <w:p w14:paraId="5B15A7FF" w14:textId="77777777" w:rsidR="006C4239" w:rsidRPr="006A1E11" w:rsidRDefault="006C4239" w:rsidP="006A1E11">
            <w:pPr>
              <w:ind w:left="360"/>
              <w:jc w:val="both"/>
              <w:rPr>
                <w:b/>
                <w:bCs/>
              </w:rPr>
            </w:pPr>
          </w:p>
        </w:tc>
        <w:tc>
          <w:tcPr>
            <w:tcW w:w="4267" w:type="dxa"/>
          </w:tcPr>
          <w:p w14:paraId="3896B545" w14:textId="77777777" w:rsidR="006C4239" w:rsidRPr="006A1E11" w:rsidRDefault="006C4239" w:rsidP="006A1E11">
            <w:pPr>
              <w:ind w:left="360"/>
              <w:jc w:val="both"/>
              <w:rPr>
                <w:b/>
                <w:bCs/>
              </w:rPr>
            </w:pPr>
          </w:p>
        </w:tc>
      </w:tr>
      <w:tr w:rsidR="006C4239" w:rsidRPr="00D51AE5" w14:paraId="735AFF3A" w14:textId="1793280E" w:rsidTr="007639A7">
        <w:tc>
          <w:tcPr>
            <w:tcW w:w="6044" w:type="dxa"/>
          </w:tcPr>
          <w:p w14:paraId="5E40B48A" w14:textId="77777777" w:rsidR="006C4239" w:rsidRPr="00D51AE5" w:rsidRDefault="006C4239" w:rsidP="006C4239">
            <w:pPr>
              <w:spacing w:line="276" w:lineRule="auto"/>
              <w:jc w:val="both"/>
              <w:rPr>
                <w:rFonts w:ascii="Arial" w:hAnsi="Arial" w:cs="Arial"/>
                <w:lang w:val="en-US"/>
              </w:rPr>
            </w:pPr>
            <w:r w:rsidRPr="00D51AE5">
              <w:rPr>
                <w:rFonts w:ascii="Arial" w:hAnsi="Arial" w:cs="Arial"/>
                <w:b/>
                <w:bCs/>
                <w:lang w:val="en-US"/>
              </w:rPr>
              <w:t>9.1Stages of an Ocean Energy Service Contract.</w:t>
            </w:r>
            <w:r w:rsidRPr="00D51AE5">
              <w:rPr>
                <w:rFonts w:ascii="Arial" w:hAnsi="Arial" w:cs="Arial"/>
                <w:lang w:val="en-US"/>
              </w:rPr>
              <w:t xml:space="preserve"> An </w:t>
            </w:r>
            <w:r w:rsidRPr="00D51AE5">
              <w:rPr>
                <w:rFonts w:ascii="Arial" w:hAnsi="Arial" w:cs="Arial"/>
                <w:iCs/>
                <w:lang w:val="en-US"/>
              </w:rPr>
              <w:t>OESC</w:t>
            </w:r>
            <w:r w:rsidRPr="00D51AE5">
              <w:rPr>
                <w:rFonts w:ascii="Arial" w:hAnsi="Arial" w:cs="Arial"/>
                <w:lang w:val="en-US"/>
              </w:rPr>
              <w:t xml:space="preserve"> shall cover two (2) stages of the ocean energy project, namely:</w:t>
            </w:r>
          </w:p>
        </w:tc>
        <w:tc>
          <w:tcPr>
            <w:tcW w:w="3590" w:type="dxa"/>
          </w:tcPr>
          <w:p w14:paraId="3C34CF7F" w14:textId="77777777" w:rsidR="006C4239" w:rsidRPr="006A1E11" w:rsidRDefault="006C4239" w:rsidP="006A1E11">
            <w:pPr>
              <w:ind w:left="360"/>
              <w:jc w:val="both"/>
              <w:rPr>
                <w:b/>
                <w:bCs/>
              </w:rPr>
            </w:pPr>
          </w:p>
        </w:tc>
        <w:tc>
          <w:tcPr>
            <w:tcW w:w="4267" w:type="dxa"/>
          </w:tcPr>
          <w:p w14:paraId="03745D2F" w14:textId="77777777" w:rsidR="006C4239" w:rsidRPr="006A1E11" w:rsidRDefault="006C4239" w:rsidP="006A1E11">
            <w:pPr>
              <w:ind w:left="360"/>
              <w:jc w:val="both"/>
              <w:rPr>
                <w:b/>
                <w:bCs/>
              </w:rPr>
            </w:pPr>
          </w:p>
        </w:tc>
      </w:tr>
      <w:tr w:rsidR="006C4239" w:rsidRPr="00D51AE5" w14:paraId="4BDEC3B5" w14:textId="189E3B61" w:rsidTr="007639A7">
        <w:tc>
          <w:tcPr>
            <w:tcW w:w="6044" w:type="dxa"/>
          </w:tcPr>
          <w:p w14:paraId="1928C373" w14:textId="77777777" w:rsidR="006C4239" w:rsidRPr="00D51AE5" w:rsidRDefault="006C4239" w:rsidP="006C4239">
            <w:pPr>
              <w:numPr>
                <w:ilvl w:val="0"/>
                <w:numId w:val="2"/>
              </w:numPr>
              <w:spacing w:line="276" w:lineRule="auto"/>
              <w:ind w:left="1276" w:hanging="425"/>
              <w:contextualSpacing/>
              <w:jc w:val="both"/>
              <w:rPr>
                <w:rFonts w:ascii="Arial" w:hAnsi="Arial" w:cs="Arial"/>
                <w:lang w:val="en-US"/>
              </w:rPr>
            </w:pPr>
            <w:r w:rsidRPr="00D51AE5">
              <w:rPr>
                <w:rFonts w:ascii="Arial" w:hAnsi="Arial" w:cs="Arial"/>
                <w:lang w:val="en-US"/>
              </w:rPr>
              <w:t>Pre-Development Stage. Involves the conduct of preliminary assessment and feasibility study up to Financial Closing and Declaration of Commerciality (DOC) of the ocean energy project, including the identification of the proposed Production Area; and</w:t>
            </w:r>
          </w:p>
        </w:tc>
        <w:tc>
          <w:tcPr>
            <w:tcW w:w="3590" w:type="dxa"/>
          </w:tcPr>
          <w:p w14:paraId="50A5A6FB" w14:textId="77777777" w:rsidR="006C4239" w:rsidRPr="00D51AE5" w:rsidRDefault="006C4239" w:rsidP="006A1E11">
            <w:pPr>
              <w:spacing w:line="276" w:lineRule="auto"/>
              <w:ind w:left="360"/>
              <w:contextualSpacing/>
              <w:jc w:val="both"/>
              <w:rPr>
                <w:rFonts w:ascii="Arial" w:hAnsi="Arial" w:cs="Arial"/>
                <w:lang w:val="en-US"/>
              </w:rPr>
            </w:pPr>
          </w:p>
        </w:tc>
        <w:tc>
          <w:tcPr>
            <w:tcW w:w="4267" w:type="dxa"/>
          </w:tcPr>
          <w:p w14:paraId="0958ADBE" w14:textId="77777777" w:rsidR="006C4239" w:rsidRPr="00D51AE5" w:rsidRDefault="006C4239" w:rsidP="006A1E11">
            <w:pPr>
              <w:spacing w:line="276" w:lineRule="auto"/>
              <w:ind w:left="360"/>
              <w:contextualSpacing/>
              <w:jc w:val="both"/>
              <w:rPr>
                <w:rFonts w:ascii="Arial" w:hAnsi="Arial" w:cs="Arial"/>
                <w:lang w:val="en-US"/>
              </w:rPr>
            </w:pPr>
          </w:p>
        </w:tc>
      </w:tr>
      <w:tr w:rsidR="006C4239" w:rsidRPr="00D51AE5" w14:paraId="6A4122A0" w14:textId="4191E634" w:rsidTr="007639A7">
        <w:tc>
          <w:tcPr>
            <w:tcW w:w="6044" w:type="dxa"/>
          </w:tcPr>
          <w:p w14:paraId="3C06C1AF" w14:textId="77777777" w:rsidR="006C4239" w:rsidRPr="00D51AE5" w:rsidRDefault="006C4239" w:rsidP="006C4239">
            <w:pPr>
              <w:numPr>
                <w:ilvl w:val="0"/>
                <w:numId w:val="2"/>
              </w:numPr>
              <w:spacing w:line="276" w:lineRule="auto"/>
              <w:ind w:left="1276" w:hanging="425"/>
              <w:contextualSpacing/>
              <w:jc w:val="both"/>
              <w:rPr>
                <w:rFonts w:ascii="Arial" w:hAnsi="Arial" w:cs="Arial"/>
                <w:lang w:val="en-US"/>
              </w:rPr>
            </w:pPr>
            <w:r w:rsidRPr="00D51AE5">
              <w:rPr>
                <w:rFonts w:ascii="Arial" w:hAnsi="Arial" w:cs="Arial"/>
                <w:lang w:val="en-US"/>
              </w:rPr>
              <w:t>Development/Commercial Stage. Involves the development, construction, and commercial operation of the ocean energy project, production, and utilization of ocean energy resources.</w:t>
            </w:r>
          </w:p>
        </w:tc>
        <w:tc>
          <w:tcPr>
            <w:tcW w:w="3590" w:type="dxa"/>
          </w:tcPr>
          <w:p w14:paraId="5C24F347" w14:textId="77777777" w:rsidR="006C4239" w:rsidRPr="00D51AE5" w:rsidRDefault="006C4239" w:rsidP="006A1E11">
            <w:pPr>
              <w:spacing w:line="276" w:lineRule="auto"/>
              <w:ind w:left="360"/>
              <w:contextualSpacing/>
              <w:jc w:val="both"/>
              <w:rPr>
                <w:rFonts w:ascii="Arial" w:hAnsi="Arial" w:cs="Arial"/>
                <w:lang w:val="en-US"/>
              </w:rPr>
            </w:pPr>
          </w:p>
        </w:tc>
        <w:tc>
          <w:tcPr>
            <w:tcW w:w="4267" w:type="dxa"/>
          </w:tcPr>
          <w:p w14:paraId="15393821" w14:textId="77777777" w:rsidR="006C4239" w:rsidRPr="00D51AE5" w:rsidRDefault="006C4239" w:rsidP="006A1E11">
            <w:pPr>
              <w:spacing w:line="276" w:lineRule="auto"/>
              <w:ind w:left="360"/>
              <w:contextualSpacing/>
              <w:jc w:val="both"/>
              <w:rPr>
                <w:rFonts w:ascii="Arial" w:hAnsi="Arial" w:cs="Arial"/>
                <w:lang w:val="en-US"/>
              </w:rPr>
            </w:pPr>
          </w:p>
        </w:tc>
      </w:tr>
      <w:tr w:rsidR="006C4239" w:rsidRPr="00D51AE5" w14:paraId="08ACAF58" w14:textId="1978181A" w:rsidTr="007639A7">
        <w:tc>
          <w:tcPr>
            <w:tcW w:w="6044" w:type="dxa"/>
          </w:tcPr>
          <w:p w14:paraId="57CA585C" w14:textId="77777777" w:rsidR="006C4239" w:rsidRPr="00D51AE5" w:rsidRDefault="006C4239" w:rsidP="006C4239">
            <w:pPr>
              <w:pStyle w:val="ListParagraph"/>
              <w:numPr>
                <w:ilvl w:val="1"/>
                <w:numId w:val="49"/>
              </w:numPr>
              <w:jc w:val="both"/>
            </w:pPr>
            <w:r w:rsidRPr="00D51AE5">
              <w:rPr>
                <w:b/>
                <w:bCs/>
              </w:rPr>
              <w:t>Transition from Pre-Development Stage to Development/Commercial Stage</w:t>
            </w:r>
            <w:r w:rsidRPr="00D51AE5">
              <w:rPr>
                <w:b/>
                <w:i/>
              </w:rPr>
              <w:t xml:space="preserve">. </w:t>
            </w:r>
            <w:r w:rsidRPr="00D51AE5">
              <w:t xml:space="preserve">The </w:t>
            </w:r>
            <w:r w:rsidRPr="00D51AE5">
              <w:rPr>
                <w:iCs/>
              </w:rPr>
              <w:t>OESC</w:t>
            </w:r>
            <w:r w:rsidRPr="00D51AE5">
              <w:t xml:space="preserve"> shall transition from the Pre-Development Stage to Development/Commercial Stage only after issuance by the DOE of a COCOC. The process of the issuance of a COCOC is provided in Section 15.3 of this Chapter.</w:t>
            </w:r>
          </w:p>
        </w:tc>
        <w:tc>
          <w:tcPr>
            <w:tcW w:w="3590" w:type="dxa"/>
          </w:tcPr>
          <w:p w14:paraId="266AC88D" w14:textId="77777777" w:rsidR="006C4239" w:rsidRPr="006A1E11" w:rsidRDefault="006C4239" w:rsidP="006A1E11">
            <w:pPr>
              <w:ind w:left="1080"/>
              <w:jc w:val="both"/>
              <w:rPr>
                <w:b/>
                <w:bCs/>
              </w:rPr>
            </w:pPr>
          </w:p>
        </w:tc>
        <w:tc>
          <w:tcPr>
            <w:tcW w:w="4267" w:type="dxa"/>
          </w:tcPr>
          <w:p w14:paraId="2F4165AD" w14:textId="77777777" w:rsidR="006C4239" w:rsidRPr="006A1E11" w:rsidRDefault="006C4239" w:rsidP="006A1E11">
            <w:pPr>
              <w:ind w:left="1080"/>
              <w:jc w:val="both"/>
              <w:rPr>
                <w:b/>
                <w:bCs/>
              </w:rPr>
            </w:pPr>
          </w:p>
        </w:tc>
      </w:tr>
      <w:tr w:rsidR="006C4239" w:rsidRPr="00D51AE5" w14:paraId="69F87C49" w14:textId="6CC8BF67" w:rsidTr="007639A7">
        <w:tc>
          <w:tcPr>
            <w:tcW w:w="6044" w:type="dxa"/>
          </w:tcPr>
          <w:p w14:paraId="6AF5923F" w14:textId="77777777" w:rsidR="006C4239" w:rsidRPr="00D51AE5" w:rsidRDefault="006C4239" w:rsidP="006C4239">
            <w:pPr>
              <w:pStyle w:val="ListParagraph"/>
              <w:numPr>
                <w:ilvl w:val="1"/>
                <w:numId w:val="49"/>
              </w:numPr>
              <w:jc w:val="both"/>
            </w:pPr>
            <w:r w:rsidRPr="00D51AE5">
              <w:rPr>
                <w:b/>
                <w:bCs/>
              </w:rPr>
              <w:t xml:space="preserve">Contract Area. </w:t>
            </w:r>
            <w:r w:rsidRPr="00D51AE5">
              <w:t xml:space="preserve">Upon transition from the Pre-Development to Development Stage of the </w:t>
            </w:r>
            <w:r w:rsidRPr="00D51AE5">
              <w:rPr>
                <w:iCs/>
              </w:rPr>
              <w:t>OESC</w:t>
            </w:r>
            <w:r w:rsidRPr="00D51AE5">
              <w:t>, the Contract Area shall be amended, if necessary, to cover the Production Area only.</w:t>
            </w:r>
          </w:p>
        </w:tc>
        <w:tc>
          <w:tcPr>
            <w:tcW w:w="3590" w:type="dxa"/>
          </w:tcPr>
          <w:p w14:paraId="30B00BD0" w14:textId="77777777" w:rsidR="006C4239" w:rsidRPr="006A1E11" w:rsidRDefault="006C4239" w:rsidP="006A1E11">
            <w:pPr>
              <w:ind w:left="1080"/>
              <w:jc w:val="both"/>
              <w:rPr>
                <w:b/>
                <w:bCs/>
              </w:rPr>
            </w:pPr>
          </w:p>
        </w:tc>
        <w:tc>
          <w:tcPr>
            <w:tcW w:w="4267" w:type="dxa"/>
          </w:tcPr>
          <w:p w14:paraId="6C63CC06" w14:textId="77777777" w:rsidR="006C4239" w:rsidRPr="006A1E11" w:rsidRDefault="006C4239" w:rsidP="006A1E11">
            <w:pPr>
              <w:ind w:left="1080"/>
              <w:jc w:val="both"/>
              <w:rPr>
                <w:b/>
                <w:bCs/>
              </w:rPr>
            </w:pPr>
          </w:p>
        </w:tc>
      </w:tr>
      <w:tr w:rsidR="006C4239" w:rsidRPr="00D51AE5" w14:paraId="30D52564" w14:textId="1746310F" w:rsidTr="007639A7">
        <w:tc>
          <w:tcPr>
            <w:tcW w:w="6044" w:type="dxa"/>
          </w:tcPr>
          <w:p w14:paraId="2D1F9CF5" w14:textId="77777777" w:rsidR="006C4239" w:rsidRPr="00D51AE5" w:rsidRDefault="006C4239" w:rsidP="006C4239">
            <w:pPr>
              <w:spacing w:line="276" w:lineRule="auto"/>
              <w:jc w:val="both"/>
              <w:rPr>
                <w:rFonts w:ascii="Arial" w:hAnsi="Arial" w:cs="Arial"/>
                <w:b/>
                <w:bCs/>
                <w:lang w:val="en-US"/>
              </w:rPr>
            </w:pPr>
            <w:r w:rsidRPr="00D51AE5">
              <w:rPr>
                <w:rFonts w:ascii="Arial" w:hAnsi="Arial" w:cs="Arial"/>
                <w:b/>
                <w:bCs/>
                <w:lang w:val="en-US"/>
              </w:rPr>
              <w:t>Section 10. Investments.</w:t>
            </w:r>
          </w:p>
        </w:tc>
        <w:tc>
          <w:tcPr>
            <w:tcW w:w="3590" w:type="dxa"/>
          </w:tcPr>
          <w:p w14:paraId="5358B7AC" w14:textId="77777777" w:rsidR="006C4239" w:rsidRPr="006A1E11" w:rsidRDefault="006C4239" w:rsidP="006A1E11">
            <w:pPr>
              <w:ind w:left="360"/>
              <w:jc w:val="both"/>
              <w:rPr>
                <w:b/>
                <w:bCs/>
              </w:rPr>
            </w:pPr>
          </w:p>
        </w:tc>
        <w:tc>
          <w:tcPr>
            <w:tcW w:w="4267" w:type="dxa"/>
          </w:tcPr>
          <w:p w14:paraId="7AD4CAB6" w14:textId="77777777" w:rsidR="006C4239" w:rsidRPr="006A1E11" w:rsidRDefault="006C4239" w:rsidP="006A1E11">
            <w:pPr>
              <w:ind w:left="360"/>
              <w:jc w:val="both"/>
              <w:rPr>
                <w:b/>
                <w:bCs/>
              </w:rPr>
            </w:pPr>
          </w:p>
        </w:tc>
      </w:tr>
      <w:tr w:rsidR="006C4239" w:rsidRPr="00D51AE5" w14:paraId="763E908B" w14:textId="49BBD996" w:rsidTr="007639A7">
        <w:tc>
          <w:tcPr>
            <w:tcW w:w="6044" w:type="dxa"/>
          </w:tcPr>
          <w:p w14:paraId="1F9A1C5B" w14:textId="77777777" w:rsidR="006C4239" w:rsidRPr="00D51AE5" w:rsidRDefault="006C4239" w:rsidP="006C4239">
            <w:pPr>
              <w:pStyle w:val="ListParagraph"/>
              <w:numPr>
                <w:ilvl w:val="1"/>
                <w:numId w:val="50"/>
              </w:numPr>
              <w:ind w:left="709"/>
              <w:jc w:val="both"/>
            </w:pPr>
            <w:r w:rsidRPr="00D51AE5">
              <w:rPr>
                <w:b/>
                <w:bCs/>
              </w:rPr>
              <w:t>New Investments.</w:t>
            </w:r>
            <w:r w:rsidRPr="00D51AE5">
              <w:t xml:space="preserve"> Ocean Energy Developers undertaking discovery, exploration, development and/or utilization of new ocean energy resources or the development of new generation facilities within the Contract Area distinct from the originally registered operations may qualify as new projects, subject to setting up of new separate books of accounts. The Ocean Energy Developer may, upon its discretion, relinquish the Contract Area and apply for a new OESC over the area of new investment</w:t>
            </w:r>
            <w:r w:rsidRPr="00D51AE5">
              <w:rPr>
                <w:rFonts w:eastAsia="Arial"/>
              </w:rPr>
              <w:t>, subject to constitutional term limits</w:t>
            </w:r>
            <w:r w:rsidRPr="00D51AE5">
              <w:t>.</w:t>
            </w:r>
          </w:p>
        </w:tc>
        <w:tc>
          <w:tcPr>
            <w:tcW w:w="3590" w:type="dxa"/>
          </w:tcPr>
          <w:p w14:paraId="1E89E77A" w14:textId="77777777" w:rsidR="006C4239" w:rsidRPr="006A1E11" w:rsidRDefault="006C4239" w:rsidP="006A1E11">
            <w:pPr>
              <w:ind w:left="1080"/>
              <w:jc w:val="both"/>
              <w:rPr>
                <w:b/>
                <w:bCs/>
              </w:rPr>
            </w:pPr>
          </w:p>
        </w:tc>
        <w:tc>
          <w:tcPr>
            <w:tcW w:w="4267" w:type="dxa"/>
          </w:tcPr>
          <w:p w14:paraId="469733AC" w14:textId="77777777" w:rsidR="006C4239" w:rsidRPr="006A1E11" w:rsidRDefault="006C4239" w:rsidP="006A1E11">
            <w:pPr>
              <w:ind w:left="1080"/>
              <w:jc w:val="both"/>
              <w:rPr>
                <w:b/>
                <w:bCs/>
              </w:rPr>
            </w:pPr>
          </w:p>
        </w:tc>
      </w:tr>
      <w:tr w:rsidR="006C4239" w:rsidRPr="00D51AE5" w14:paraId="0345BB71" w14:textId="080B03D8" w:rsidTr="007639A7">
        <w:tc>
          <w:tcPr>
            <w:tcW w:w="6044" w:type="dxa"/>
          </w:tcPr>
          <w:p w14:paraId="670D4610" w14:textId="77777777" w:rsidR="006C4239" w:rsidRPr="00D51AE5" w:rsidRDefault="006C4239" w:rsidP="006C4239">
            <w:pPr>
              <w:pStyle w:val="ListParagraph"/>
              <w:numPr>
                <w:ilvl w:val="1"/>
                <w:numId w:val="50"/>
              </w:numPr>
              <w:ind w:left="709"/>
              <w:jc w:val="both"/>
            </w:pPr>
            <w:r w:rsidRPr="00D51AE5">
              <w:rPr>
                <w:b/>
                <w:bCs/>
              </w:rPr>
              <w:t>Additional Investments.</w:t>
            </w:r>
            <w:r w:rsidRPr="00D51AE5">
              <w:t xml:space="preserve"> </w:t>
            </w:r>
            <w:r w:rsidRPr="00D51AE5">
              <w:rPr>
                <w:rFonts w:eastAsia="Times New Roman"/>
              </w:rPr>
              <w:t>Additional investment may cover investment for improvements, modernization, rehabilitation, or expansion duly registered with the DOE, which may or may not result in increased capacity, subject to the conditions to be determined by the DOE, such as</w:t>
            </w:r>
            <w:r w:rsidRPr="00D51AE5">
              <w:rPr>
                <w:rFonts w:eastAsia="Times New Roman"/>
                <w:b/>
              </w:rPr>
              <w:t>,</w:t>
            </w:r>
            <w:r w:rsidRPr="00D51AE5">
              <w:rPr>
                <w:rFonts w:eastAsia="Times New Roman"/>
              </w:rPr>
              <w:t xml:space="preserve"> but not limited to</w:t>
            </w:r>
            <w:r w:rsidRPr="00D51AE5">
              <w:rPr>
                <w:rFonts w:eastAsia="Times New Roman"/>
                <w:b/>
              </w:rPr>
              <w:t>,</w:t>
            </w:r>
            <w:r w:rsidRPr="00D51AE5">
              <w:rPr>
                <w:rFonts w:eastAsia="Times New Roman"/>
              </w:rPr>
              <w:t xml:space="preserve"> the following:</w:t>
            </w:r>
          </w:p>
        </w:tc>
        <w:tc>
          <w:tcPr>
            <w:tcW w:w="3590" w:type="dxa"/>
          </w:tcPr>
          <w:p w14:paraId="7424EDAE" w14:textId="77777777" w:rsidR="006C4239" w:rsidRPr="006A1E11" w:rsidRDefault="006C4239" w:rsidP="006A1E11">
            <w:pPr>
              <w:ind w:left="1080"/>
              <w:jc w:val="both"/>
              <w:rPr>
                <w:b/>
                <w:bCs/>
              </w:rPr>
            </w:pPr>
          </w:p>
        </w:tc>
        <w:tc>
          <w:tcPr>
            <w:tcW w:w="4267" w:type="dxa"/>
          </w:tcPr>
          <w:p w14:paraId="299F3AEE" w14:textId="77777777" w:rsidR="006C4239" w:rsidRPr="006A1E11" w:rsidRDefault="006C4239" w:rsidP="006A1E11">
            <w:pPr>
              <w:ind w:left="1080"/>
              <w:jc w:val="both"/>
              <w:rPr>
                <w:b/>
                <w:bCs/>
              </w:rPr>
            </w:pPr>
          </w:p>
        </w:tc>
      </w:tr>
      <w:tr w:rsidR="006C4239" w:rsidRPr="00D51AE5" w14:paraId="4C82894E" w14:textId="7B5354E0" w:rsidTr="007639A7">
        <w:tc>
          <w:tcPr>
            <w:tcW w:w="6044" w:type="dxa"/>
          </w:tcPr>
          <w:p w14:paraId="29B2D42D" w14:textId="77777777" w:rsidR="006C4239" w:rsidRPr="00D51AE5" w:rsidRDefault="006C4239" w:rsidP="006C4239">
            <w:pPr>
              <w:spacing w:line="276" w:lineRule="auto"/>
              <w:jc w:val="both"/>
              <w:rPr>
                <w:rFonts w:ascii="Arial" w:eastAsia="Times New Roman" w:hAnsi="Arial" w:cs="Arial"/>
                <w:lang w:val="en-US"/>
              </w:rPr>
            </w:pPr>
            <w:r w:rsidRPr="00D51AE5">
              <w:rPr>
                <w:rFonts w:ascii="Arial" w:eastAsia="Times New Roman" w:hAnsi="Arial" w:cs="Arial"/>
                <w:lang w:val="en-US"/>
              </w:rPr>
              <w:t>(a)</w:t>
            </w:r>
            <w:r w:rsidRPr="00D51AE5">
              <w:rPr>
                <w:rFonts w:ascii="Arial" w:eastAsia="Times New Roman" w:hAnsi="Arial" w:cs="Arial"/>
                <w:lang w:val="en-US"/>
              </w:rPr>
              <w:tab/>
              <w:t xml:space="preserve">Identification of and investment in sequential phases/stages of production, or undertaking scheduled modernization or rehabilitation of the </w:t>
            </w:r>
            <w:r w:rsidRPr="00D51AE5">
              <w:rPr>
                <w:rFonts w:ascii="Arial" w:hAnsi="Arial" w:cs="Arial"/>
                <w:lang w:val="en-US"/>
              </w:rPr>
              <w:t>ocean energy</w:t>
            </w:r>
            <w:r w:rsidRPr="00D51AE5">
              <w:rPr>
                <w:rFonts w:ascii="Arial" w:eastAsia="Times New Roman" w:hAnsi="Arial" w:cs="Arial"/>
                <w:lang w:val="en-US"/>
              </w:rPr>
              <w:t xml:space="preserve"> systems; and</w:t>
            </w:r>
          </w:p>
        </w:tc>
        <w:tc>
          <w:tcPr>
            <w:tcW w:w="3590" w:type="dxa"/>
          </w:tcPr>
          <w:p w14:paraId="4AA165CA" w14:textId="77777777" w:rsidR="006C4239" w:rsidRPr="006A1E11" w:rsidRDefault="006C4239" w:rsidP="006A1E11">
            <w:pPr>
              <w:ind w:left="360"/>
              <w:jc w:val="both"/>
              <w:rPr>
                <w:rFonts w:eastAsia="Times New Roman"/>
              </w:rPr>
            </w:pPr>
          </w:p>
        </w:tc>
        <w:tc>
          <w:tcPr>
            <w:tcW w:w="4267" w:type="dxa"/>
          </w:tcPr>
          <w:p w14:paraId="46EC03F8" w14:textId="77777777" w:rsidR="006C4239" w:rsidRPr="006A1E11" w:rsidRDefault="006C4239" w:rsidP="006A1E11">
            <w:pPr>
              <w:ind w:left="360"/>
              <w:jc w:val="both"/>
              <w:rPr>
                <w:rFonts w:eastAsia="Times New Roman"/>
              </w:rPr>
            </w:pPr>
          </w:p>
        </w:tc>
      </w:tr>
      <w:tr w:rsidR="006C4239" w:rsidRPr="00D51AE5" w14:paraId="4030621D" w14:textId="5B93A7D7" w:rsidTr="007639A7">
        <w:tc>
          <w:tcPr>
            <w:tcW w:w="6044" w:type="dxa"/>
          </w:tcPr>
          <w:p w14:paraId="46DA4FB3" w14:textId="77777777" w:rsidR="006C4239" w:rsidRPr="00D51AE5" w:rsidRDefault="006C4239" w:rsidP="006C4239">
            <w:pPr>
              <w:spacing w:line="276" w:lineRule="auto"/>
              <w:jc w:val="both"/>
              <w:rPr>
                <w:rFonts w:ascii="Arial" w:hAnsi="Arial" w:cs="Arial"/>
                <w:lang w:val="en-US"/>
              </w:rPr>
            </w:pPr>
            <w:r w:rsidRPr="00D51AE5">
              <w:rPr>
                <w:rFonts w:ascii="Arial" w:eastAsia="Times New Roman" w:hAnsi="Arial" w:cs="Arial"/>
                <w:lang w:val="en-US"/>
              </w:rPr>
              <w:t>(b)</w:t>
            </w:r>
            <w:r w:rsidRPr="00D51AE5">
              <w:rPr>
                <w:rFonts w:ascii="Arial" w:eastAsia="Times New Roman" w:hAnsi="Arial" w:cs="Arial"/>
                <w:lang w:val="en-US"/>
              </w:rPr>
              <w:tab/>
              <w:t xml:space="preserve">Improvements to the </w:t>
            </w:r>
            <w:r w:rsidRPr="00D51AE5">
              <w:rPr>
                <w:rFonts w:ascii="Arial" w:hAnsi="Arial" w:cs="Arial"/>
                <w:lang w:val="en-US"/>
              </w:rPr>
              <w:t>ocean energy</w:t>
            </w:r>
            <w:r w:rsidRPr="00D51AE5">
              <w:rPr>
                <w:rFonts w:ascii="Arial" w:eastAsia="Times New Roman" w:hAnsi="Arial" w:cs="Arial"/>
                <w:lang w:val="en-US"/>
              </w:rPr>
              <w:t xml:space="preserve"> systems such as reduced production/operational costs, increased production, improved operational efficiency, and better </w:t>
            </w:r>
            <w:r w:rsidRPr="00D51AE5">
              <w:rPr>
                <w:rFonts w:ascii="Arial" w:eastAsia="Times New Roman" w:hAnsi="Arial" w:cs="Arial"/>
                <w:lang w:val="en-US"/>
              </w:rPr>
              <w:softHyphen/>
              <w:t xml:space="preserve">reliability of the </w:t>
            </w:r>
            <w:r w:rsidRPr="00D51AE5">
              <w:rPr>
                <w:rFonts w:ascii="Arial" w:hAnsi="Arial" w:cs="Arial"/>
                <w:lang w:val="en-US"/>
              </w:rPr>
              <w:t>ocean energy</w:t>
            </w:r>
            <w:r w:rsidRPr="00D51AE5">
              <w:rPr>
                <w:rFonts w:ascii="Arial" w:eastAsia="Times New Roman" w:hAnsi="Arial" w:cs="Arial"/>
                <w:lang w:val="en-US"/>
              </w:rPr>
              <w:t xml:space="preserve"> project.</w:t>
            </w:r>
          </w:p>
        </w:tc>
        <w:tc>
          <w:tcPr>
            <w:tcW w:w="3590" w:type="dxa"/>
          </w:tcPr>
          <w:p w14:paraId="0834EDFE" w14:textId="77777777" w:rsidR="006C4239" w:rsidRPr="006A1E11" w:rsidRDefault="006C4239" w:rsidP="006A1E11">
            <w:pPr>
              <w:ind w:left="360"/>
              <w:jc w:val="both"/>
              <w:rPr>
                <w:rFonts w:eastAsia="Times New Roman"/>
              </w:rPr>
            </w:pPr>
          </w:p>
        </w:tc>
        <w:tc>
          <w:tcPr>
            <w:tcW w:w="4267" w:type="dxa"/>
          </w:tcPr>
          <w:p w14:paraId="4A9AC4D0" w14:textId="77777777" w:rsidR="006C4239" w:rsidRPr="006A1E11" w:rsidRDefault="006C4239" w:rsidP="006A1E11">
            <w:pPr>
              <w:ind w:left="360"/>
              <w:jc w:val="both"/>
              <w:rPr>
                <w:rFonts w:eastAsia="Times New Roman"/>
              </w:rPr>
            </w:pPr>
          </w:p>
        </w:tc>
      </w:tr>
      <w:tr w:rsidR="006C4239" w:rsidRPr="00D51AE5" w14:paraId="7FFE2202" w14:textId="3D5E482F" w:rsidTr="007639A7">
        <w:tc>
          <w:tcPr>
            <w:tcW w:w="6044" w:type="dxa"/>
          </w:tcPr>
          <w:p w14:paraId="30EFF105" w14:textId="77777777" w:rsidR="006C4239" w:rsidRPr="00D51AE5" w:rsidRDefault="006C4239" w:rsidP="006C4239">
            <w:pPr>
              <w:spacing w:line="276" w:lineRule="auto"/>
              <w:jc w:val="both"/>
              <w:rPr>
                <w:rFonts w:ascii="Arial" w:hAnsi="Arial" w:cs="Arial"/>
                <w:lang w:val="en-US"/>
              </w:rPr>
            </w:pPr>
            <w:r w:rsidRPr="00D51AE5">
              <w:rPr>
                <w:rFonts w:ascii="Arial" w:eastAsia="Arial" w:hAnsi="Arial" w:cs="Arial"/>
                <w:lang w:val="en-US"/>
              </w:rPr>
              <w:t xml:space="preserve">If, by reason of the additional investment, the capacity of the </w:t>
            </w:r>
            <w:r w:rsidRPr="00D51AE5">
              <w:rPr>
                <w:rFonts w:ascii="Arial" w:hAnsi="Arial" w:cs="Arial"/>
                <w:lang w:val="en-US"/>
              </w:rPr>
              <w:t>ocean energy</w:t>
            </w:r>
            <w:r w:rsidRPr="00D51AE5">
              <w:rPr>
                <w:rFonts w:ascii="Arial" w:eastAsia="Arial" w:hAnsi="Arial" w:cs="Arial"/>
                <w:lang w:val="en-US"/>
              </w:rPr>
              <w:t xml:space="preserve"> project will be increased by at least thirty percent (30%), the </w:t>
            </w:r>
            <w:r w:rsidRPr="00D51AE5">
              <w:rPr>
                <w:rFonts w:ascii="Arial" w:hAnsi="Arial" w:cs="Arial"/>
                <w:lang w:val="en-US"/>
              </w:rPr>
              <w:t>Ocean Energy</w:t>
            </w:r>
            <w:r w:rsidRPr="00D51AE5">
              <w:rPr>
                <w:rFonts w:ascii="Arial" w:eastAsia="Arial" w:hAnsi="Arial" w:cs="Arial"/>
                <w:lang w:val="en-US"/>
              </w:rPr>
              <w:t xml:space="preserve"> Developer shall have the option to pre-terminate its existing contract and enter into a new OESC, subject to constitutional term limits. Upon the award of the new OESC, the incentives under the RE Act shall be reset.</w:t>
            </w:r>
            <w:r w:rsidRPr="00D51AE5">
              <w:rPr>
                <w:rFonts w:ascii="Arial" w:hAnsi="Arial" w:cs="Arial"/>
                <w:lang w:val="en-US"/>
              </w:rPr>
              <w:t xml:space="preserve"> </w:t>
            </w:r>
          </w:p>
        </w:tc>
        <w:tc>
          <w:tcPr>
            <w:tcW w:w="3590" w:type="dxa"/>
          </w:tcPr>
          <w:p w14:paraId="22F0305F" w14:textId="77777777" w:rsidR="006C4239" w:rsidRPr="006A1E11" w:rsidRDefault="006C4239" w:rsidP="006A1E11">
            <w:pPr>
              <w:ind w:left="360"/>
              <w:jc w:val="both"/>
              <w:rPr>
                <w:rFonts w:eastAsia="Arial"/>
              </w:rPr>
            </w:pPr>
          </w:p>
        </w:tc>
        <w:tc>
          <w:tcPr>
            <w:tcW w:w="4267" w:type="dxa"/>
          </w:tcPr>
          <w:p w14:paraId="65040964" w14:textId="77777777" w:rsidR="006C4239" w:rsidRPr="006A1E11" w:rsidRDefault="006C4239" w:rsidP="006A1E11">
            <w:pPr>
              <w:ind w:left="360"/>
              <w:jc w:val="both"/>
              <w:rPr>
                <w:rFonts w:eastAsia="Arial"/>
              </w:rPr>
            </w:pPr>
          </w:p>
        </w:tc>
      </w:tr>
      <w:tr w:rsidR="006C4239" w:rsidRPr="00D51AE5" w14:paraId="2E6B4CFA" w14:textId="0A60B338" w:rsidTr="007639A7">
        <w:tc>
          <w:tcPr>
            <w:tcW w:w="6044" w:type="dxa"/>
          </w:tcPr>
          <w:p w14:paraId="5453D04F" w14:textId="77777777" w:rsidR="006C4239" w:rsidRPr="00D51AE5" w:rsidRDefault="006C4239" w:rsidP="006C4239">
            <w:pPr>
              <w:spacing w:line="276" w:lineRule="auto"/>
              <w:jc w:val="both"/>
              <w:rPr>
                <w:rFonts w:ascii="Arial" w:hAnsi="Arial" w:cs="Arial"/>
                <w:lang w:val="en-US"/>
              </w:rPr>
            </w:pPr>
            <w:r w:rsidRPr="00D51AE5">
              <w:rPr>
                <w:rFonts w:ascii="Arial" w:hAnsi="Arial" w:cs="Arial"/>
                <w:lang w:val="en-US"/>
              </w:rPr>
              <w:t>If the additional investment will not increase the capacity of the ocean energy project by thirty percent (30%), the Ocean Energy</w:t>
            </w:r>
            <w:r w:rsidRPr="00D51AE5">
              <w:rPr>
                <w:rFonts w:ascii="Arial" w:eastAsia="Arial" w:hAnsi="Arial" w:cs="Arial"/>
                <w:lang w:val="en-US"/>
              </w:rPr>
              <w:t xml:space="preserve"> </w:t>
            </w:r>
            <w:r w:rsidRPr="00D51AE5">
              <w:rPr>
                <w:rFonts w:ascii="Arial" w:hAnsi="Arial" w:cs="Arial"/>
                <w:lang w:val="en-US"/>
              </w:rPr>
              <w:t>Developer shall only be entitled to such incentives as may be warranted under the RE Act.</w:t>
            </w:r>
          </w:p>
        </w:tc>
        <w:tc>
          <w:tcPr>
            <w:tcW w:w="3590" w:type="dxa"/>
          </w:tcPr>
          <w:p w14:paraId="24A76870" w14:textId="77777777" w:rsidR="006C4239" w:rsidRPr="006A1E11" w:rsidRDefault="006C4239" w:rsidP="006A1E11">
            <w:pPr>
              <w:ind w:left="360"/>
              <w:jc w:val="both"/>
            </w:pPr>
          </w:p>
        </w:tc>
        <w:tc>
          <w:tcPr>
            <w:tcW w:w="4267" w:type="dxa"/>
          </w:tcPr>
          <w:p w14:paraId="3AC82317" w14:textId="77777777" w:rsidR="006C4239" w:rsidRPr="006A1E11" w:rsidRDefault="006C4239" w:rsidP="006A1E11">
            <w:pPr>
              <w:ind w:left="360"/>
              <w:jc w:val="both"/>
            </w:pPr>
          </w:p>
        </w:tc>
      </w:tr>
      <w:tr w:rsidR="006C4239" w:rsidRPr="00D51AE5" w14:paraId="27E30F5D" w14:textId="1E1D18CA" w:rsidTr="007639A7">
        <w:tc>
          <w:tcPr>
            <w:tcW w:w="6044" w:type="dxa"/>
          </w:tcPr>
          <w:p w14:paraId="74276F3B" w14:textId="77777777" w:rsidR="006C4239" w:rsidRPr="00D51AE5" w:rsidRDefault="006C4239" w:rsidP="006C4239">
            <w:pPr>
              <w:contextualSpacing/>
              <w:jc w:val="both"/>
              <w:rPr>
                <w:rFonts w:ascii="Arial" w:hAnsi="Arial" w:cs="Arial"/>
                <w:b/>
                <w:bCs/>
              </w:rPr>
            </w:pPr>
            <w:r w:rsidRPr="00D51AE5">
              <w:rPr>
                <w:rFonts w:ascii="Arial" w:hAnsi="Arial" w:cs="Arial"/>
                <w:b/>
                <w:bCs/>
              </w:rPr>
              <w:t xml:space="preserve">CHAPTER VII </w:t>
            </w:r>
            <w:r w:rsidRPr="00D51AE5">
              <w:rPr>
                <w:rFonts w:ascii="Arial" w:hAnsi="Arial" w:cs="Arial"/>
                <w:b/>
                <w:bCs/>
                <w:iCs/>
              </w:rPr>
              <w:t xml:space="preserve">– </w:t>
            </w:r>
            <w:r w:rsidRPr="00D51AE5">
              <w:rPr>
                <w:rFonts w:ascii="Arial" w:hAnsi="Arial" w:cs="Arial"/>
                <w:b/>
                <w:bCs/>
              </w:rPr>
              <w:t>ADMINISTRATION OF RENEWABLE ENERGY SERVICE/OPERATING CONTRACTS</w:t>
            </w:r>
          </w:p>
        </w:tc>
        <w:tc>
          <w:tcPr>
            <w:tcW w:w="3590" w:type="dxa"/>
          </w:tcPr>
          <w:p w14:paraId="5B9AF2AF" w14:textId="77777777" w:rsidR="006C4239" w:rsidRPr="006A1E11" w:rsidRDefault="006C4239" w:rsidP="006A1E11">
            <w:pPr>
              <w:ind w:left="360"/>
              <w:jc w:val="both"/>
              <w:rPr>
                <w:b/>
                <w:bCs/>
              </w:rPr>
            </w:pPr>
          </w:p>
        </w:tc>
        <w:tc>
          <w:tcPr>
            <w:tcW w:w="4267" w:type="dxa"/>
          </w:tcPr>
          <w:p w14:paraId="5D4CBE6B" w14:textId="77777777" w:rsidR="006C4239" w:rsidRPr="006A1E11" w:rsidRDefault="006C4239" w:rsidP="006A1E11">
            <w:pPr>
              <w:ind w:left="360"/>
              <w:jc w:val="both"/>
              <w:rPr>
                <w:b/>
                <w:bCs/>
              </w:rPr>
            </w:pPr>
          </w:p>
        </w:tc>
      </w:tr>
      <w:tr w:rsidR="006C4239" w:rsidRPr="00D51AE5" w14:paraId="1B6BC8AA" w14:textId="59769F03" w:rsidTr="007639A7">
        <w:tc>
          <w:tcPr>
            <w:tcW w:w="6044" w:type="dxa"/>
          </w:tcPr>
          <w:p w14:paraId="1D09C8DF" w14:textId="77777777" w:rsidR="006C4239" w:rsidRPr="00D51AE5" w:rsidRDefault="006C4239" w:rsidP="006C4239">
            <w:pPr>
              <w:contextualSpacing/>
              <w:jc w:val="both"/>
              <w:rPr>
                <w:rFonts w:ascii="Arial" w:hAnsi="Arial" w:cs="Arial"/>
              </w:rPr>
            </w:pPr>
            <w:r w:rsidRPr="00D51AE5">
              <w:rPr>
                <w:rFonts w:ascii="Arial" w:hAnsi="Arial" w:cs="Arial"/>
                <w:b/>
                <w:bCs/>
              </w:rPr>
              <w:t xml:space="preserve">Section 1. Posting of a Performance Bond. </w:t>
            </w:r>
            <w:r w:rsidRPr="00D51AE5">
              <w:rPr>
                <w:rFonts w:ascii="Arial" w:hAnsi="Arial" w:cs="Arial"/>
              </w:rPr>
              <w:t>The RE Developer shall post a bond or any other guarantee of sufficient amount, but not less than the minimum expenditures commitment for the first contract year, which shall be a condition precedent for the effectivity of the RE Contract. A valid and subsisting performance bond is required to be maintained annually until the pre-construction phase of the RE Project.</w:t>
            </w:r>
          </w:p>
        </w:tc>
        <w:tc>
          <w:tcPr>
            <w:tcW w:w="3590" w:type="dxa"/>
          </w:tcPr>
          <w:p w14:paraId="1A2DDE14" w14:textId="77777777" w:rsidR="006C4239" w:rsidRPr="006A1E11" w:rsidRDefault="006C4239" w:rsidP="006A1E11">
            <w:pPr>
              <w:ind w:left="360"/>
              <w:jc w:val="both"/>
              <w:rPr>
                <w:b/>
                <w:bCs/>
              </w:rPr>
            </w:pPr>
          </w:p>
        </w:tc>
        <w:tc>
          <w:tcPr>
            <w:tcW w:w="4267" w:type="dxa"/>
          </w:tcPr>
          <w:p w14:paraId="36BF26EF" w14:textId="77777777" w:rsidR="006C4239" w:rsidRPr="006A1E11" w:rsidRDefault="006C4239" w:rsidP="006A1E11">
            <w:pPr>
              <w:ind w:left="360"/>
              <w:jc w:val="both"/>
              <w:rPr>
                <w:b/>
                <w:bCs/>
              </w:rPr>
            </w:pPr>
          </w:p>
        </w:tc>
      </w:tr>
      <w:tr w:rsidR="006C4239" w:rsidRPr="00D51AE5" w14:paraId="66860B86" w14:textId="66534D52" w:rsidTr="007639A7">
        <w:tc>
          <w:tcPr>
            <w:tcW w:w="6044" w:type="dxa"/>
          </w:tcPr>
          <w:p w14:paraId="6705D9EB" w14:textId="77777777" w:rsidR="006C4239" w:rsidRPr="00D51AE5" w:rsidRDefault="006C4239" w:rsidP="006C4239">
            <w:pPr>
              <w:jc w:val="both"/>
              <w:rPr>
                <w:rFonts w:ascii="Arial" w:hAnsi="Arial" w:cs="Arial"/>
                <w:b/>
                <w:bCs/>
              </w:rPr>
            </w:pPr>
            <w:r w:rsidRPr="00D51AE5">
              <w:rPr>
                <w:rFonts w:ascii="Arial" w:hAnsi="Arial" w:cs="Arial"/>
                <w:b/>
                <w:bCs/>
              </w:rPr>
              <w:t xml:space="preserve">Section 2. Updating of RE Projects Data to the EVOSS System and DOE Website. </w:t>
            </w:r>
            <w:r w:rsidRPr="00D51AE5">
              <w:rPr>
                <w:rFonts w:ascii="Arial" w:hAnsi="Arial" w:cs="Arial"/>
              </w:rPr>
              <w:t>The following shall govern the posting and updating of RE Contracts awarded and pending RE Applications on the DOE website.</w:t>
            </w:r>
          </w:p>
        </w:tc>
        <w:tc>
          <w:tcPr>
            <w:tcW w:w="3590" w:type="dxa"/>
          </w:tcPr>
          <w:p w14:paraId="4071534E" w14:textId="77777777" w:rsidR="006C4239" w:rsidRPr="006A1E11" w:rsidRDefault="006C4239" w:rsidP="006A1E11">
            <w:pPr>
              <w:ind w:left="360"/>
              <w:jc w:val="both"/>
              <w:rPr>
                <w:b/>
                <w:bCs/>
              </w:rPr>
            </w:pPr>
          </w:p>
        </w:tc>
        <w:tc>
          <w:tcPr>
            <w:tcW w:w="4267" w:type="dxa"/>
          </w:tcPr>
          <w:p w14:paraId="24CA2D0A" w14:textId="77777777" w:rsidR="006C4239" w:rsidRPr="006A1E11" w:rsidRDefault="006C4239" w:rsidP="006A1E11">
            <w:pPr>
              <w:ind w:left="360"/>
              <w:jc w:val="both"/>
              <w:rPr>
                <w:b/>
                <w:bCs/>
              </w:rPr>
            </w:pPr>
          </w:p>
        </w:tc>
      </w:tr>
      <w:tr w:rsidR="006C4239" w:rsidRPr="00D51AE5" w14:paraId="053028D4" w14:textId="6B792F26" w:rsidTr="007639A7">
        <w:tc>
          <w:tcPr>
            <w:tcW w:w="6044" w:type="dxa"/>
          </w:tcPr>
          <w:p w14:paraId="3F74F6E3" w14:textId="77777777" w:rsidR="006C4239" w:rsidRPr="00D51AE5" w:rsidRDefault="006C4239" w:rsidP="006C4239">
            <w:pPr>
              <w:jc w:val="both"/>
              <w:rPr>
                <w:rFonts w:ascii="Arial" w:hAnsi="Arial" w:cs="Arial"/>
              </w:rPr>
            </w:pPr>
            <w:r w:rsidRPr="00D51AE5">
              <w:rPr>
                <w:rFonts w:ascii="Arial" w:hAnsi="Arial" w:cs="Arial"/>
              </w:rPr>
              <w:t>2.1 The REMB-Technical Service Management Division (TSMD), in coordination with the relevant REMB divisions, shall collate and update the list of RE Contracts awarded and RE Applications filed and under evaluation on a quarterly basis. Upon full operation of the EVOSS System, updating of data shall be in accordance with the periods provided in the system.</w:t>
            </w:r>
          </w:p>
        </w:tc>
        <w:tc>
          <w:tcPr>
            <w:tcW w:w="3590" w:type="dxa"/>
          </w:tcPr>
          <w:p w14:paraId="36BDEB49" w14:textId="77777777" w:rsidR="006C4239" w:rsidRPr="006A1E11" w:rsidRDefault="006C4239" w:rsidP="006A1E11">
            <w:pPr>
              <w:ind w:left="360"/>
              <w:jc w:val="both"/>
            </w:pPr>
          </w:p>
        </w:tc>
        <w:tc>
          <w:tcPr>
            <w:tcW w:w="4267" w:type="dxa"/>
          </w:tcPr>
          <w:p w14:paraId="2312B2F4" w14:textId="77777777" w:rsidR="006C4239" w:rsidRPr="006A1E11" w:rsidRDefault="006C4239" w:rsidP="006A1E11">
            <w:pPr>
              <w:ind w:left="360"/>
              <w:jc w:val="both"/>
            </w:pPr>
          </w:p>
        </w:tc>
      </w:tr>
      <w:tr w:rsidR="006C4239" w:rsidRPr="00D51AE5" w14:paraId="09E7F08C" w14:textId="69CFF78D" w:rsidTr="007639A7">
        <w:tc>
          <w:tcPr>
            <w:tcW w:w="6044" w:type="dxa"/>
          </w:tcPr>
          <w:p w14:paraId="239AEFA2" w14:textId="77777777" w:rsidR="006C4239" w:rsidRPr="00D51AE5" w:rsidRDefault="006C4239" w:rsidP="006C4239">
            <w:pPr>
              <w:jc w:val="both"/>
              <w:rPr>
                <w:rFonts w:ascii="Arial" w:hAnsi="Arial" w:cs="Arial"/>
              </w:rPr>
            </w:pPr>
            <w:r w:rsidRPr="00D51AE5">
              <w:rPr>
                <w:rFonts w:ascii="Arial" w:hAnsi="Arial" w:cs="Arial"/>
              </w:rPr>
              <w:t>2.2 All concerned DOE units shall provide updates to the EVOSS System and DOE websites.</w:t>
            </w:r>
            <w:r w:rsidRPr="00D51AE5">
              <w:rPr>
                <w:rFonts w:ascii="Arial" w:hAnsi="Arial" w:cs="Arial"/>
              </w:rPr>
              <w:tab/>
            </w:r>
          </w:p>
        </w:tc>
        <w:tc>
          <w:tcPr>
            <w:tcW w:w="3590" w:type="dxa"/>
          </w:tcPr>
          <w:p w14:paraId="6B1B507B" w14:textId="77777777" w:rsidR="006C4239" w:rsidRPr="006A1E11" w:rsidRDefault="006C4239" w:rsidP="006A1E11">
            <w:pPr>
              <w:ind w:left="360"/>
              <w:jc w:val="both"/>
            </w:pPr>
          </w:p>
        </w:tc>
        <w:tc>
          <w:tcPr>
            <w:tcW w:w="4267" w:type="dxa"/>
          </w:tcPr>
          <w:p w14:paraId="6A58D3E2" w14:textId="77777777" w:rsidR="006C4239" w:rsidRPr="006A1E11" w:rsidRDefault="006C4239" w:rsidP="006A1E11">
            <w:pPr>
              <w:ind w:left="360"/>
              <w:jc w:val="both"/>
            </w:pPr>
          </w:p>
        </w:tc>
      </w:tr>
      <w:tr w:rsidR="006C4239" w:rsidRPr="00D51AE5" w14:paraId="59FB23B4" w14:textId="47B20BAF" w:rsidTr="007639A7">
        <w:tc>
          <w:tcPr>
            <w:tcW w:w="6044" w:type="dxa"/>
          </w:tcPr>
          <w:p w14:paraId="5A751D8A" w14:textId="77777777" w:rsidR="006C4239" w:rsidRPr="00D51AE5" w:rsidRDefault="006C4239" w:rsidP="006C4239">
            <w:pPr>
              <w:jc w:val="both"/>
              <w:rPr>
                <w:rFonts w:ascii="Arial" w:hAnsi="Arial" w:cs="Arial"/>
              </w:rPr>
            </w:pPr>
            <w:r w:rsidRPr="00D51AE5">
              <w:rPr>
                <w:rFonts w:ascii="Arial" w:hAnsi="Arial" w:cs="Arial"/>
              </w:rPr>
              <w:t xml:space="preserve">2.3.All RE Developers shall be required to register with the EVOSS System for regular updating of their respective RE Projects. </w:t>
            </w:r>
          </w:p>
        </w:tc>
        <w:tc>
          <w:tcPr>
            <w:tcW w:w="3590" w:type="dxa"/>
          </w:tcPr>
          <w:p w14:paraId="1606262E" w14:textId="77777777" w:rsidR="006C4239" w:rsidRPr="006A1E11" w:rsidRDefault="006C4239" w:rsidP="006A1E11">
            <w:pPr>
              <w:ind w:left="360"/>
              <w:jc w:val="both"/>
            </w:pPr>
          </w:p>
        </w:tc>
        <w:tc>
          <w:tcPr>
            <w:tcW w:w="4267" w:type="dxa"/>
          </w:tcPr>
          <w:p w14:paraId="1477224D" w14:textId="77777777" w:rsidR="006C4239" w:rsidRPr="006A1E11" w:rsidRDefault="006C4239" w:rsidP="006A1E11">
            <w:pPr>
              <w:ind w:left="360"/>
              <w:jc w:val="both"/>
            </w:pPr>
          </w:p>
        </w:tc>
      </w:tr>
      <w:tr w:rsidR="006C4239" w:rsidRPr="00D51AE5" w14:paraId="0F071E0C" w14:textId="2373D2A9" w:rsidTr="007639A7">
        <w:tc>
          <w:tcPr>
            <w:tcW w:w="6044" w:type="dxa"/>
          </w:tcPr>
          <w:p w14:paraId="129591CD" w14:textId="77777777" w:rsidR="006C4239" w:rsidRPr="00D51AE5" w:rsidRDefault="006C4239" w:rsidP="006C4239">
            <w:pPr>
              <w:contextualSpacing/>
              <w:jc w:val="both"/>
              <w:rPr>
                <w:rFonts w:ascii="Arial" w:hAnsi="Arial" w:cs="Arial"/>
              </w:rPr>
            </w:pPr>
            <w:r w:rsidRPr="00D51AE5">
              <w:rPr>
                <w:rFonts w:ascii="Arial" w:hAnsi="Arial" w:cs="Arial"/>
                <w:b/>
                <w:bCs/>
              </w:rPr>
              <w:t>Section 3. Transition from Pre-Development Stage to Development/Commercial Stage</w:t>
            </w:r>
            <w:r w:rsidRPr="00D51AE5">
              <w:rPr>
                <w:rFonts w:ascii="Arial" w:hAnsi="Arial" w:cs="Arial"/>
                <w:b/>
                <w:i/>
              </w:rPr>
              <w:t xml:space="preserve">. </w:t>
            </w:r>
            <w:r w:rsidRPr="00D51AE5">
              <w:rPr>
                <w:rFonts w:ascii="Arial" w:hAnsi="Arial" w:cs="Arial"/>
              </w:rPr>
              <w:t>The RE Service Contract shall transition from the Pre-Development Stage to Development/Commercial Stage only after issuance by the DOE of a COCOC.</w:t>
            </w:r>
          </w:p>
        </w:tc>
        <w:tc>
          <w:tcPr>
            <w:tcW w:w="3590" w:type="dxa"/>
          </w:tcPr>
          <w:p w14:paraId="61871FCA" w14:textId="77777777" w:rsidR="006C4239" w:rsidRPr="006A1E11" w:rsidRDefault="006C4239" w:rsidP="006A1E11">
            <w:pPr>
              <w:ind w:left="360"/>
              <w:jc w:val="both"/>
              <w:rPr>
                <w:b/>
                <w:bCs/>
              </w:rPr>
            </w:pPr>
          </w:p>
        </w:tc>
        <w:tc>
          <w:tcPr>
            <w:tcW w:w="4267" w:type="dxa"/>
          </w:tcPr>
          <w:p w14:paraId="2D655777" w14:textId="77777777" w:rsidR="006C4239" w:rsidRPr="006A1E11" w:rsidRDefault="006C4239" w:rsidP="006A1E11">
            <w:pPr>
              <w:ind w:left="360"/>
              <w:jc w:val="both"/>
              <w:rPr>
                <w:b/>
                <w:bCs/>
              </w:rPr>
            </w:pPr>
          </w:p>
        </w:tc>
      </w:tr>
      <w:tr w:rsidR="006C4239" w:rsidRPr="00D51AE5" w14:paraId="06D3AB3C" w14:textId="1E5E99CD" w:rsidTr="007639A7">
        <w:tc>
          <w:tcPr>
            <w:tcW w:w="6044" w:type="dxa"/>
          </w:tcPr>
          <w:p w14:paraId="1F186B28" w14:textId="77777777" w:rsidR="006C4239" w:rsidRPr="00D51AE5" w:rsidRDefault="006C4239" w:rsidP="006C4239">
            <w:pPr>
              <w:pStyle w:val="ListParagraph"/>
              <w:numPr>
                <w:ilvl w:val="1"/>
                <w:numId w:val="51"/>
              </w:numPr>
              <w:ind w:left="709" w:hanging="425"/>
              <w:jc w:val="both"/>
              <w:rPr>
                <w:b/>
                <w:bCs/>
              </w:rPr>
            </w:pPr>
            <w:r w:rsidRPr="00D51AE5">
              <w:rPr>
                <w:b/>
                <w:bCs/>
              </w:rPr>
              <w:t>Procedure for the Transition from Pre-Development to Development.</w:t>
            </w:r>
          </w:p>
        </w:tc>
        <w:tc>
          <w:tcPr>
            <w:tcW w:w="3590" w:type="dxa"/>
          </w:tcPr>
          <w:p w14:paraId="1C31926C" w14:textId="77777777" w:rsidR="006C4239" w:rsidRPr="006A1E11" w:rsidRDefault="006C4239" w:rsidP="006A1E11">
            <w:pPr>
              <w:ind w:left="1080"/>
              <w:jc w:val="both"/>
              <w:rPr>
                <w:b/>
                <w:bCs/>
              </w:rPr>
            </w:pPr>
          </w:p>
        </w:tc>
        <w:tc>
          <w:tcPr>
            <w:tcW w:w="4267" w:type="dxa"/>
          </w:tcPr>
          <w:p w14:paraId="2E3F163B" w14:textId="77777777" w:rsidR="006C4239" w:rsidRPr="006A1E11" w:rsidRDefault="006C4239" w:rsidP="006A1E11">
            <w:pPr>
              <w:ind w:left="1080"/>
              <w:jc w:val="both"/>
              <w:rPr>
                <w:b/>
                <w:bCs/>
              </w:rPr>
            </w:pPr>
          </w:p>
        </w:tc>
      </w:tr>
      <w:tr w:rsidR="006C4239" w:rsidRPr="00D51AE5" w14:paraId="338BFDF2" w14:textId="404FD43E" w:rsidTr="007639A7">
        <w:tc>
          <w:tcPr>
            <w:tcW w:w="6044" w:type="dxa"/>
          </w:tcPr>
          <w:p w14:paraId="6094479B" w14:textId="77777777" w:rsidR="006C4239" w:rsidRPr="00D51AE5" w:rsidRDefault="006C4239" w:rsidP="006C4239">
            <w:pPr>
              <w:pStyle w:val="ListParagraph"/>
              <w:numPr>
                <w:ilvl w:val="2"/>
                <w:numId w:val="51"/>
              </w:numPr>
              <w:ind w:left="1985" w:hanging="567"/>
              <w:jc w:val="both"/>
            </w:pPr>
            <w:r w:rsidRPr="00D51AE5">
              <w:t>The RE Developer shall submit through the EVOSS System the complete documentary requirements specified in Annex L of this Circular prior to the expiration of the Pre-Development Stage. The concerned REMB division shall determine the completeness and consistency of the submission within three (3) days.</w:t>
            </w:r>
          </w:p>
        </w:tc>
        <w:tc>
          <w:tcPr>
            <w:tcW w:w="3590" w:type="dxa"/>
          </w:tcPr>
          <w:p w14:paraId="06AC707F" w14:textId="77777777" w:rsidR="006C4239" w:rsidRPr="006A1E11" w:rsidRDefault="006C4239" w:rsidP="006A1E11">
            <w:pPr>
              <w:ind w:left="1980"/>
              <w:jc w:val="both"/>
            </w:pPr>
          </w:p>
        </w:tc>
        <w:tc>
          <w:tcPr>
            <w:tcW w:w="4267" w:type="dxa"/>
          </w:tcPr>
          <w:p w14:paraId="518E279D" w14:textId="77777777" w:rsidR="006C4239" w:rsidRPr="006A1E11" w:rsidRDefault="006C4239" w:rsidP="006A1E11">
            <w:pPr>
              <w:ind w:left="1980"/>
              <w:jc w:val="both"/>
            </w:pPr>
          </w:p>
        </w:tc>
      </w:tr>
      <w:tr w:rsidR="006C4239" w:rsidRPr="00D51AE5" w14:paraId="28478B61" w14:textId="02D07941" w:rsidTr="007639A7">
        <w:tc>
          <w:tcPr>
            <w:tcW w:w="6044" w:type="dxa"/>
          </w:tcPr>
          <w:p w14:paraId="1E150AAF" w14:textId="77777777" w:rsidR="006C4239" w:rsidRPr="00D51AE5" w:rsidRDefault="006C4239" w:rsidP="006C4239">
            <w:pPr>
              <w:pStyle w:val="ListParagraph"/>
              <w:numPr>
                <w:ilvl w:val="2"/>
                <w:numId w:val="51"/>
              </w:numPr>
              <w:ind w:left="1985" w:hanging="567"/>
              <w:jc w:val="both"/>
            </w:pPr>
            <w:r w:rsidRPr="00D51AE5">
              <w:t>If the submission is complete, the concerned REMB division, ITMS and LS shall conduct the evaluations and upload the evaluation results through the EVOSS System within seven (7) days.</w:t>
            </w:r>
          </w:p>
        </w:tc>
        <w:tc>
          <w:tcPr>
            <w:tcW w:w="3590" w:type="dxa"/>
          </w:tcPr>
          <w:p w14:paraId="1570E721" w14:textId="77777777" w:rsidR="006C4239" w:rsidRPr="006A1E11" w:rsidRDefault="006C4239" w:rsidP="006A1E11">
            <w:pPr>
              <w:ind w:left="1980"/>
              <w:jc w:val="both"/>
            </w:pPr>
          </w:p>
        </w:tc>
        <w:tc>
          <w:tcPr>
            <w:tcW w:w="4267" w:type="dxa"/>
          </w:tcPr>
          <w:p w14:paraId="12C8639F" w14:textId="77777777" w:rsidR="006C4239" w:rsidRPr="006A1E11" w:rsidRDefault="006C4239" w:rsidP="006A1E11">
            <w:pPr>
              <w:ind w:left="1980"/>
              <w:jc w:val="both"/>
            </w:pPr>
          </w:p>
        </w:tc>
      </w:tr>
      <w:tr w:rsidR="006C4239" w:rsidRPr="00D51AE5" w14:paraId="28A51A3B" w14:textId="229CF842" w:rsidTr="007639A7">
        <w:tc>
          <w:tcPr>
            <w:tcW w:w="6044" w:type="dxa"/>
          </w:tcPr>
          <w:p w14:paraId="6970D4EB" w14:textId="77777777" w:rsidR="006C4239" w:rsidRPr="00D51AE5" w:rsidRDefault="006C4239" w:rsidP="006C4239">
            <w:pPr>
              <w:pStyle w:val="ListParagraph"/>
              <w:numPr>
                <w:ilvl w:val="2"/>
                <w:numId w:val="51"/>
              </w:numPr>
              <w:ind w:left="1985" w:hanging="567"/>
              <w:jc w:val="both"/>
            </w:pPr>
            <w:r w:rsidRPr="00D51AE5">
              <w:t>The concerned REMB division shall consolidate the evaluation results and endorse, through REMB Director, the recommendation for approval of LS within two (2) days.</w:t>
            </w:r>
          </w:p>
        </w:tc>
        <w:tc>
          <w:tcPr>
            <w:tcW w:w="3590" w:type="dxa"/>
          </w:tcPr>
          <w:p w14:paraId="450067B7" w14:textId="77777777" w:rsidR="006C4239" w:rsidRPr="006A1E11" w:rsidRDefault="006C4239" w:rsidP="006A1E11">
            <w:pPr>
              <w:ind w:left="1980"/>
              <w:jc w:val="both"/>
            </w:pPr>
          </w:p>
        </w:tc>
        <w:tc>
          <w:tcPr>
            <w:tcW w:w="4267" w:type="dxa"/>
          </w:tcPr>
          <w:p w14:paraId="7AECB37F" w14:textId="77777777" w:rsidR="006C4239" w:rsidRPr="006A1E11" w:rsidRDefault="006C4239" w:rsidP="006A1E11">
            <w:pPr>
              <w:ind w:left="1980"/>
              <w:jc w:val="both"/>
            </w:pPr>
          </w:p>
        </w:tc>
      </w:tr>
      <w:tr w:rsidR="006C4239" w:rsidRPr="00D51AE5" w14:paraId="487BB782" w14:textId="1CCDD7D9" w:rsidTr="007639A7">
        <w:tc>
          <w:tcPr>
            <w:tcW w:w="6044" w:type="dxa"/>
          </w:tcPr>
          <w:p w14:paraId="7A73D33D" w14:textId="77777777" w:rsidR="006C4239" w:rsidRPr="00D51AE5" w:rsidRDefault="006C4239" w:rsidP="006C4239">
            <w:pPr>
              <w:pStyle w:val="ListParagraph"/>
              <w:numPr>
                <w:ilvl w:val="2"/>
                <w:numId w:val="51"/>
              </w:numPr>
              <w:ind w:left="1985" w:hanging="567"/>
              <w:jc w:val="both"/>
            </w:pPr>
            <w:r w:rsidRPr="00D51AE5">
              <w:t>The Supervising Assistant Secretary and Undersecretary shall act on the recommendation and endorse the same to the DOE Secretary for approval within four (4) days.</w:t>
            </w:r>
          </w:p>
        </w:tc>
        <w:tc>
          <w:tcPr>
            <w:tcW w:w="3590" w:type="dxa"/>
          </w:tcPr>
          <w:p w14:paraId="0C5855FA" w14:textId="77777777" w:rsidR="006C4239" w:rsidRPr="006A1E11" w:rsidRDefault="006C4239" w:rsidP="006A1E11">
            <w:pPr>
              <w:ind w:left="1980"/>
              <w:jc w:val="both"/>
            </w:pPr>
          </w:p>
        </w:tc>
        <w:tc>
          <w:tcPr>
            <w:tcW w:w="4267" w:type="dxa"/>
          </w:tcPr>
          <w:p w14:paraId="1FDE5555" w14:textId="77777777" w:rsidR="006C4239" w:rsidRPr="006A1E11" w:rsidRDefault="006C4239" w:rsidP="006A1E11">
            <w:pPr>
              <w:ind w:left="1980"/>
              <w:jc w:val="both"/>
            </w:pPr>
          </w:p>
        </w:tc>
      </w:tr>
      <w:tr w:rsidR="006C4239" w:rsidRPr="00D51AE5" w14:paraId="1871703F" w14:textId="4C09A0CF" w:rsidTr="007639A7">
        <w:tc>
          <w:tcPr>
            <w:tcW w:w="6044" w:type="dxa"/>
          </w:tcPr>
          <w:p w14:paraId="63ADAA77" w14:textId="77777777" w:rsidR="006C4239" w:rsidRPr="00D51AE5" w:rsidRDefault="006C4239" w:rsidP="006C4239">
            <w:pPr>
              <w:pStyle w:val="ListParagraph"/>
              <w:numPr>
                <w:ilvl w:val="2"/>
                <w:numId w:val="51"/>
              </w:numPr>
              <w:ind w:left="1985" w:hanging="567"/>
              <w:jc w:val="both"/>
            </w:pPr>
            <w:r w:rsidRPr="00D51AE5">
              <w:t>The concerned REMB division, through the EVOSS System, shall upload the signed letter and COCOC and notify the Hydropower Developer to pick-up the said documents.</w:t>
            </w:r>
          </w:p>
        </w:tc>
        <w:tc>
          <w:tcPr>
            <w:tcW w:w="3590" w:type="dxa"/>
          </w:tcPr>
          <w:p w14:paraId="47E2DB8F" w14:textId="77777777" w:rsidR="006C4239" w:rsidRPr="006A1E11" w:rsidRDefault="006C4239" w:rsidP="006A1E11">
            <w:pPr>
              <w:ind w:left="1980"/>
              <w:jc w:val="both"/>
            </w:pPr>
          </w:p>
        </w:tc>
        <w:tc>
          <w:tcPr>
            <w:tcW w:w="4267" w:type="dxa"/>
          </w:tcPr>
          <w:p w14:paraId="286B0DA7" w14:textId="77777777" w:rsidR="006C4239" w:rsidRPr="006A1E11" w:rsidRDefault="006C4239" w:rsidP="006A1E11">
            <w:pPr>
              <w:ind w:left="1980"/>
              <w:jc w:val="both"/>
            </w:pPr>
          </w:p>
        </w:tc>
      </w:tr>
      <w:tr w:rsidR="006C4239" w:rsidRPr="00D51AE5" w14:paraId="4BC69B55" w14:textId="7B5BE73A" w:rsidTr="007639A7">
        <w:tc>
          <w:tcPr>
            <w:tcW w:w="6044" w:type="dxa"/>
          </w:tcPr>
          <w:p w14:paraId="56490EB8" w14:textId="77777777" w:rsidR="006C4239" w:rsidRPr="00D51AE5" w:rsidRDefault="006C4239" w:rsidP="006C4239">
            <w:pPr>
              <w:pStyle w:val="ListParagraph"/>
              <w:numPr>
                <w:ilvl w:val="2"/>
                <w:numId w:val="51"/>
              </w:numPr>
              <w:ind w:left="1985" w:hanging="567"/>
              <w:jc w:val="both"/>
            </w:pPr>
            <w:r w:rsidRPr="00D51AE5">
              <w:t>Within thirty-one (31) days from receipt of the DOC, the DOE shall either:</w:t>
            </w:r>
          </w:p>
        </w:tc>
        <w:tc>
          <w:tcPr>
            <w:tcW w:w="3590" w:type="dxa"/>
          </w:tcPr>
          <w:p w14:paraId="3C12250E" w14:textId="77777777" w:rsidR="006C4239" w:rsidRPr="006A1E11" w:rsidRDefault="006C4239" w:rsidP="006A1E11">
            <w:pPr>
              <w:ind w:left="1980"/>
              <w:jc w:val="both"/>
            </w:pPr>
          </w:p>
        </w:tc>
        <w:tc>
          <w:tcPr>
            <w:tcW w:w="4267" w:type="dxa"/>
          </w:tcPr>
          <w:p w14:paraId="0FC2A44B" w14:textId="77777777" w:rsidR="006C4239" w:rsidRPr="006A1E11" w:rsidRDefault="006C4239" w:rsidP="006A1E11">
            <w:pPr>
              <w:ind w:left="1980"/>
              <w:jc w:val="both"/>
            </w:pPr>
          </w:p>
        </w:tc>
      </w:tr>
      <w:tr w:rsidR="006C4239" w:rsidRPr="00D51AE5" w14:paraId="073B714F" w14:textId="02355273" w:rsidTr="007639A7">
        <w:tc>
          <w:tcPr>
            <w:tcW w:w="6044" w:type="dxa"/>
          </w:tcPr>
          <w:p w14:paraId="1D41FAB3" w14:textId="77777777" w:rsidR="006C4239" w:rsidRPr="00D51AE5" w:rsidRDefault="006C4239" w:rsidP="006C4239">
            <w:pPr>
              <w:pStyle w:val="ListParagraph"/>
              <w:numPr>
                <w:ilvl w:val="3"/>
                <w:numId w:val="51"/>
              </w:numPr>
              <w:ind w:left="2835" w:hanging="850"/>
              <w:jc w:val="both"/>
            </w:pPr>
            <w:r w:rsidRPr="00D51AE5">
              <w:t>Issue the COCOC, if the results of the evaluation of the DOC are satisfactory, which shall likewise be considered the transition of the RE Contract from Pre-Development Stage to Development/ Commercial Stage; or</w:t>
            </w:r>
          </w:p>
        </w:tc>
        <w:tc>
          <w:tcPr>
            <w:tcW w:w="3590" w:type="dxa"/>
          </w:tcPr>
          <w:p w14:paraId="0717F1FB" w14:textId="77777777" w:rsidR="006C4239" w:rsidRPr="006A1E11" w:rsidRDefault="006C4239" w:rsidP="006A1E11">
            <w:pPr>
              <w:ind w:left="2520"/>
              <w:jc w:val="both"/>
            </w:pPr>
          </w:p>
        </w:tc>
        <w:tc>
          <w:tcPr>
            <w:tcW w:w="4267" w:type="dxa"/>
          </w:tcPr>
          <w:p w14:paraId="52A8B2CF" w14:textId="77777777" w:rsidR="006C4239" w:rsidRPr="006A1E11" w:rsidRDefault="006C4239" w:rsidP="006A1E11">
            <w:pPr>
              <w:ind w:left="2520"/>
              <w:jc w:val="both"/>
            </w:pPr>
          </w:p>
        </w:tc>
      </w:tr>
      <w:tr w:rsidR="006C4239" w:rsidRPr="00D51AE5" w14:paraId="62F9EE3A" w14:textId="57D093A1" w:rsidTr="007639A7">
        <w:tc>
          <w:tcPr>
            <w:tcW w:w="6044" w:type="dxa"/>
          </w:tcPr>
          <w:p w14:paraId="1979713D" w14:textId="77777777" w:rsidR="006C4239" w:rsidRPr="00D51AE5" w:rsidRDefault="006C4239" w:rsidP="006C4239">
            <w:pPr>
              <w:pStyle w:val="ListParagraph"/>
              <w:numPr>
                <w:ilvl w:val="3"/>
                <w:numId w:val="51"/>
              </w:numPr>
              <w:ind w:left="2835" w:hanging="850"/>
              <w:jc w:val="both"/>
            </w:pPr>
            <w:r w:rsidRPr="00D51AE5">
              <w:t>Issue a written notice to the RE Developer indicating that it has the remainder of the Pre-Development Stage to correct any deficiencies and/or satisfy the requirements for issuance of the COCOC, if the results of the evaluation of the DOC are unsatisfactory. Said written notice shall be signed by the REMB Director.</w:t>
            </w:r>
          </w:p>
        </w:tc>
        <w:tc>
          <w:tcPr>
            <w:tcW w:w="3590" w:type="dxa"/>
          </w:tcPr>
          <w:p w14:paraId="49D43895" w14:textId="77777777" w:rsidR="006C4239" w:rsidRPr="006A1E11" w:rsidRDefault="006C4239" w:rsidP="006A1E11">
            <w:pPr>
              <w:ind w:left="2520"/>
              <w:jc w:val="both"/>
            </w:pPr>
          </w:p>
        </w:tc>
        <w:tc>
          <w:tcPr>
            <w:tcW w:w="4267" w:type="dxa"/>
          </w:tcPr>
          <w:p w14:paraId="77BC5B2E" w14:textId="77777777" w:rsidR="006C4239" w:rsidRPr="006A1E11" w:rsidRDefault="006C4239" w:rsidP="006A1E11">
            <w:pPr>
              <w:ind w:left="2520"/>
              <w:jc w:val="both"/>
            </w:pPr>
          </w:p>
        </w:tc>
      </w:tr>
      <w:tr w:rsidR="006C4239" w:rsidRPr="00D51AE5" w14:paraId="77A13C00" w14:textId="4FAE1B7E" w:rsidTr="007639A7">
        <w:tc>
          <w:tcPr>
            <w:tcW w:w="6044" w:type="dxa"/>
          </w:tcPr>
          <w:p w14:paraId="3C2F24BD" w14:textId="77777777" w:rsidR="006C4239" w:rsidRPr="00D51AE5" w:rsidRDefault="006C4239" w:rsidP="006C4239">
            <w:pPr>
              <w:pStyle w:val="ListParagraph"/>
              <w:numPr>
                <w:ilvl w:val="2"/>
                <w:numId w:val="51"/>
              </w:numPr>
              <w:ind w:left="1985" w:hanging="567"/>
              <w:jc w:val="both"/>
            </w:pPr>
            <w:r w:rsidRPr="00D51AE5">
              <w:t>The failure of the RE Developer to correct any deficiencies or otherwise satisfy the requirements for issuance of the COCOC before the expiration of its Pre-Development Stage shall be a cause for the termination of its RE Contract.</w:t>
            </w:r>
          </w:p>
        </w:tc>
        <w:tc>
          <w:tcPr>
            <w:tcW w:w="3590" w:type="dxa"/>
          </w:tcPr>
          <w:p w14:paraId="7B34D3CE" w14:textId="77777777" w:rsidR="006C4239" w:rsidRPr="006A1E11" w:rsidRDefault="006C4239" w:rsidP="006A1E11">
            <w:pPr>
              <w:ind w:left="1980"/>
              <w:jc w:val="both"/>
            </w:pPr>
          </w:p>
        </w:tc>
        <w:tc>
          <w:tcPr>
            <w:tcW w:w="4267" w:type="dxa"/>
          </w:tcPr>
          <w:p w14:paraId="65618F08" w14:textId="77777777" w:rsidR="006C4239" w:rsidRPr="006A1E11" w:rsidRDefault="006C4239" w:rsidP="006A1E11">
            <w:pPr>
              <w:ind w:left="1980"/>
              <w:jc w:val="both"/>
            </w:pPr>
          </w:p>
        </w:tc>
      </w:tr>
      <w:tr w:rsidR="006C4239" w:rsidRPr="00D51AE5" w14:paraId="4ACAB0B6" w14:textId="5466D746" w:rsidTr="007639A7">
        <w:tc>
          <w:tcPr>
            <w:tcW w:w="6044" w:type="dxa"/>
          </w:tcPr>
          <w:p w14:paraId="0A5A71C1" w14:textId="77777777" w:rsidR="006C4239" w:rsidRPr="00D51AE5" w:rsidRDefault="006C4239" w:rsidP="006C4239">
            <w:pPr>
              <w:jc w:val="both"/>
              <w:rPr>
                <w:rFonts w:ascii="Arial" w:hAnsi="Arial" w:cs="Arial"/>
                <w:b/>
                <w:bCs/>
              </w:rPr>
            </w:pPr>
            <w:r w:rsidRPr="00D51AE5">
              <w:rPr>
                <w:rFonts w:ascii="Arial" w:hAnsi="Arial" w:cs="Arial"/>
                <w:b/>
                <w:bCs/>
              </w:rPr>
              <w:t xml:space="preserve">Section 4. Conversion to the New RE Contract Template. </w:t>
            </w:r>
            <w:r w:rsidRPr="00D51AE5">
              <w:rPr>
                <w:rFonts w:ascii="Arial" w:hAnsi="Arial" w:cs="Arial"/>
              </w:rPr>
              <w:t>Holders of contracts/agreements prior to the effectivity of this Circular may apply for conversion to the new RE Contracts templates provided in Annexes A to F hereof, and are subject to the conditions and procedures hereinbelow provided.</w:t>
            </w:r>
          </w:p>
        </w:tc>
        <w:tc>
          <w:tcPr>
            <w:tcW w:w="3590" w:type="dxa"/>
          </w:tcPr>
          <w:p w14:paraId="0EAE039E" w14:textId="77777777" w:rsidR="006C4239" w:rsidRPr="006A1E11" w:rsidRDefault="006C4239" w:rsidP="006A1E11">
            <w:pPr>
              <w:ind w:left="360"/>
              <w:jc w:val="both"/>
              <w:rPr>
                <w:b/>
                <w:bCs/>
              </w:rPr>
            </w:pPr>
          </w:p>
        </w:tc>
        <w:tc>
          <w:tcPr>
            <w:tcW w:w="4267" w:type="dxa"/>
          </w:tcPr>
          <w:p w14:paraId="085D7A5D" w14:textId="77777777" w:rsidR="006C4239" w:rsidRPr="006A1E11" w:rsidRDefault="006C4239" w:rsidP="006A1E11">
            <w:pPr>
              <w:ind w:left="360"/>
              <w:jc w:val="both"/>
              <w:rPr>
                <w:b/>
                <w:bCs/>
              </w:rPr>
            </w:pPr>
          </w:p>
        </w:tc>
      </w:tr>
      <w:tr w:rsidR="006C4239" w:rsidRPr="00D51AE5" w14:paraId="192B4A6C" w14:textId="505734D9" w:rsidTr="007639A7">
        <w:tc>
          <w:tcPr>
            <w:tcW w:w="6044" w:type="dxa"/>
          </w:tcPr>
          <w:p w14:paraId="5CEA076A" w14:textId="77777777" w:rsidR="006C4239" w:rsidRPr="00D51AE5" w:rsidRDefault="006C4239" w:rsidP="006C4239">
            <w:pPr>
              <w:pStyle w:val="ListParagraph"/>
              <w:numPr>
                <w:ilvl w:val="1"/>
                <w:numId w:val="52"/>
              </w:numPr>
              <w:jc w:val="both"/>
            </w:pPr>
            <w:r w:rsidRPr="00D51AE5">
              <w:rPr>
                <w:b/>
                <w:bCs/>
              </w:rPr>
              <w:t>Requirements for Conversion to New RE Contract Template.</w:t>
            </w:r>
            <w:r w:rsidRPr="00D51AE5">
              <w:t xml:space="preserve"> Contractors/RE Developers may apply for conversion to the new RE Contract templates subject to the following conditions:</w:t>
            </w:r>
          </w:p>
        </w:tc>
        <w:tc>
          <w:tcPr>
            <w:tcW w:w="3590" w:type="dxa"/>
          </w:tcPr>
          <w:p w14:paraId="59185FF8" w14:textId="77777777" w:rsidR="006C4239" w:rsidRPr="006A1E11" w:rsidRDefault="006C4239" w:rsidP="006A1E11">
            <w:pPr>
              <w:ind w:left="1080"/>
              <w:jc w:val="both"/>
              <w:rPr>
                <w:b/>
                <w:bCs/>
              </w:rPr>
            </w:pPr>
          </w:p>
        </w:tc>
        <w:tc>
          <w:tcPr>
            <w:tcW w:w="4267" w:type="dxa"/>
          </w:tcPr>
          <w:p w14:paraId="3C9337E2" w14:textId="77777777" w:rsidR="006C4239" w:rsidRPr="006A1E11" w:rsidRDefault="006C4239" w:rsidP="006A1E11">
            <w:pPr>
              <w:ind w:left="1080"/>
              <w:jc w:val="both"/>
              <w:rPr>
                <w:b/>
                <w:bCs/>
              </w:rPr>
            </w:pPr>
          </w:p>
        </w:tc>
      </w:tr>
      <w:tr w:rsidR="006C4239" w:rsidRPr="00D51AE5" w14:paraId="15C0DB7D" w14:textId="73674BF4" w:rsidTr="007639A7">
        <w:tc>
          <w:tcPr>
            <w:tcW w:w="6044" w:type="dxa"/>
          </w:tcPr>
          <w:p w14:paraId="255700A7" w14:textId="77777777" w:rsidR="006C4239" w:rsidRPr="00D51AE5" w:rsidRDefault="006C4239" w:rsidP="006C4239">
            <w:pPr>
              <w:jc w:val="both"/>
              <w:rPr>
                <w:rFonts w:ascii="Arial" w:hAnsi="Arial" w:cs="Arial"/>
              </w:rPr>
            </w:pPr>
            <w:r w:rsidRPr="00D51AE5">
              <w:rPr>
                <w:rFonts w:ascii="Arial" w:hAnsi="Arial" w:cs="Arial"/>
              </w:rPr>
              <w:t>4.1.1.</w:t>
            </w:r>
            <w:r w:rsidRPr="00D51AE5">
              <w:rPr>
                <w:rFonts w:ascii="Arial" w:hAnsi="Arial" w:cs="Arial"/>
              </w:rPr>
              <w:tab/>
              <w:t>Contractors/RE Developers must be fully compliant with the terms of the approved Work Program/Work Plan and the material terms and conditions of the contract/agreement for the past six (6) months prior to the date of filing its application for conversion. For RE Developers with RE Contracts executed less than six (6) months from date of application for conversion, the evaluation of their compliance of the commitments under the approved Work Program and of the material terms and conditions of the RE Contract shall be the basis of their performance.</w:t>
            </w:r>
          </w:p>
        </w:tc>
        <w:tc>
          <w:tcPr>
            <w:tcW w:w="3590" w:type="dxa"/>
          </w:tcPr>
          <w:p w14:paraId="1E2E5FC3" w14:textId="77777777" w:rsidR="006C4239" w:rsidRPr="006A1E11" w:rsidRDefault="006C4239" w:rsidP="006A1E11">
            <w:pPr>
              <w:ind w:left="360"/>
              <w:jc w:val="both"/>
            </w:pPr>
          </w:p>
        </w:tc>
        <w:tc>
          <w:tcPr>
            <w:tcW w:w="4267" w:type="dxa"/>
          </w:tcPr>
          <w:p w14:paraId="5CD9D29D" w14:textId="77777777" w:rsidR="006C4239" w:rsidRPr="006A1E11" w:rsidRDefault="006C4239" w:rsidP="006A1E11">
            <w:pPr>
              <w:ind w:left="360"/>
              <w:jc w:val="both"/>
            </w:pPr>
          </w:p>
        </w:tc>
      </w:tr>
      <w:tr w:rsidR="006C4239" w:rsidRPr="00D51AE5" w14:paraId="7E951644" w14:textId="39DEA252" w:rsidTr="007639A7">
        <w:tc>
          <w:tcPr>
            <w:tcW w:w="6044" w:type="dxa"/>
          </w:tcPr>
          <w:p w14:paraId="22B11591" w14:textId="77777777" w:rsidR="006C4239" w:rsidRPr="00D51AE5" w:rsidRDefault="006C4239" w:rsidP="006C4239">
            <w:pPr>
              <w:jc w:val="both"/>
              <w:rPr>
                <w:rFonts w:ascii="Arial" w:hAnsi="Arial" w:cs="Arial"/>
              </w:rPr>
            </w:pPr>
            <w:r w:rsidRPr="00D51AE5">
              <w:rPr>
                <w:rFonts w:ascii="Arial" w:hAnsi="Arial" w:cs="Arial"/>
              </w:rPr>
              <w:t>4.1.2.</w:t>
            </w:r>
            <w:r w:rsidRPr="00D51AE5">
              <w:rPr>
                <w:rFonts w:ascii="Arial" w:hAnsi="Arial" w:cs="Arial"/>
              </w:rPr>
              <w:tab/>
              <w:t>Submission of a letter of application for conversion with the following documentary requirements:</w:t>
            </w:r>
          </w:p>
        </w:tc>
        <w:tc>
          <w:tcPr>
            <w:tcW w:w="3590" w:type="dxa"/>
          </w:tcPr>
          <w:p w14:paraId="39A33D32" w14:textId="77777777" w:rsidR="006C4239" w:rsidRPr="006A1E11" w:rsidRDefault="006C4239" w:rsidP="006A1E11">
            <w:pPr>
              <w:ind w:left="360"/>
              <w:jc w:val="both"/>
            </w:pPr>
          </w:p>
        </w:tc>
        <w:tc>
          <w:tcPr>
            <w:tcW w:w="4267" w:type="dxa"/>
          </w:tcPr>
          <w:p w14:paraId="2D0606B2" w14:textId="77777777" w:rsidR="006C4239" w:rsidRPr="006A1E11" w:rsidRDefault="006C4239" w:rsidP="006A1E11">
            <w:pPr>
              <w:ind w:left="360"/>
              <w:jc w:val="both"/>
            </w:pPr>
          </w:p>
        </w:tc>
      </w:tr>
      <w:tr w:rsidR="006C4239" w:rsidRPr="00D51AE5" w14:paraId="4247892F" w14:textId="0C35E048" w:rsidTr="007639A7">
        <w:tc>
          <w:tcPr>
            <w:tcW w:w="6044" w:type="dxa"/>
          </w:tcPr>
          <w:p w14:paraId="3884308E" w14:textId="77777777" w:rsidR="006C4239" w:rsidRPr="00D51AE5" w:rsidRDefault="006C4239" w:rsidP="006C4239">
            <w:pPr>
              <w:jc w:val="both"/>
              <w:rPr>
                <w:rFonts w:ascii="Arial" w:hAnsi="Arial" w:cs="Arial"/>
              </w:rPr>
            </w:pPr>
            <w:r w:rsidRPr="00D51AE5">
              <w:rPr>
                <w:rFonts w:ascii="Arial" w:hAnsi="Arial" w:cs="Arial"/>
              </w:rPr>
              <w:t>(a)</w:t>
            </w:r>
            <w:r w:rsidRPr="00D51AE5">
              <w:rPr>
                <w:rFonts w:ascii="Arial" w:hAnsi="Arial" w:cs="Arial"/>
              </w:rPr>
              <w:tab/>
              <w:t>Work Program covering the first five (5) years of the remaining term of the old contract/agreement, reckoned from the date of its execution.</w:t>
            </w:r>
          </w:p>
        </w:tc>
        <w:tc>
          <w:tcPr>
            <w:tcW w:w="3590" w:type="dxa"/>
          </w:tcPr>
          <w:p w14:paraId="5FB742FA" w14:textId="77777777" w:rsidR="006C4239" w:rsidRPr="006A1E11" w:rsidRDefault="006C4239" w:rsidP="006A1E11">
            <w:pPr>
              <w:ind w:left="360"/>
              <w:jc w:val="both"/>
            </w:pPr>
          </w:p>
        </w:tc>
        <w:tc>
          <w:tcPr>
            <w:tcW w:w="4267" w:type="dxa"/>
          </w:tcPr>
          <w:p w14:paraId="09E9F1CB" w14:textId="77777777" w:rsidR="006C4239" w:rsidRPr="006A1E11" w:rsidRDefault="006C4239" w:rsidP="006A1E11">
            <w:pPr>
              <w:ind w:left="360"/>
              <w:jc w:val="both"/>
            </w:pPr>
          </w:p>
        </w:tc>
      </w:tr>
      <w:tr w:rsidR="006C4239" w:rsidRPr="00D51AE5" w14:paraId="7574B47B" w14:textId="789B6675" w:rsidTr="007639A7">
        <w:tc>
          <w:tcPr>
            <w:tcW w:w="6044" w:type="dxa"/>
          </w:tcPr>
          <w:p w14:paraId="4D66A27F" w14:textId="77777777" w:rsidR="006C4239" w:rsidRPr="00D51AE5" w:rsidRDefault="006C4239" w:rsidP="006C4239">
            <w:pPr>
              <w:jc w:val="both"/>
              <w:rPr>
                <w:rFonts w:ascii="Arial" w:hAnsi="Arial" w:cs="Arial"/>
              </w:rPr>
            </w:pPr>
            <w:r w:rsidRPr="00D51AE5">
              <w:rPr>
                <w:rFonts w:ascii="Arial" w:hAnsi="Arial" w:cs="Arial"/>
              </w:rPr>
              <w:t>(b)</w:t>
            </w:r>
            <w:r w:rsidRPr="00D51AE5">
              <w:rPr>
                <w:rFonts w:ascii="Arial" w:hAnsi="Arial" w:cs="Arial"/>
              </w:rPr>
              <w:tab/>
              <w:t>Revised Contract Area following the mapping requirements provided in Annex J hereof. In the case of biomass and solar development, the revised Contract Area is its Production Area only. Any remaining portion of the original Contract Area shall be deemed relinquished.</w:t>
            </w:r>
          </w:p>
        </w:tc>
        <w:tc>
          <w:tcPr>
            <w:tcW w:w="3590" w:type="dxa"/>
          </w:tcPr>
          <w:p w14:paraId="515AE17E" w14:textId="77777777" w:rsidR="006C4239" w:rsidRPr="006A1E11" w:rsidRDefault="006C4239" w:rsidP="006A1E11">
            <w:pPr>
              <w:ind w:left="360"/>
              <w:jc w:val="both"/>
            </w:pPr>
          </w:p>
        </w:tc>
        <w:tc>
          <w:tcPr>
            <w:tcW w:w="4267" w:type="dxa"/>
          </w:tcPr>
          <w:p w14:paraId="7CB67BF4" w14:textId="77777777" w:rsidR="006C4239" w:rsidRPr="006A1E11" w:rsidRDefault="006C4239" w:rsidP="006A1E11">
            <w:pPr>
              <w:ind w:left="360"/>
              <w:jc w:val="both"/>
            </w:pPr>
          </w:p>
        </w:tc>
      </w:tr>
      <w:tr w:rsidR="006C4239" w:rsidRPr="00D51AE5" w14:paraId="4B48593F" w14:textId="61CE7079" w:rsidTr="007639A7">
        <w:tc>
          <w:tcPr>
            <w:tcW w:w="6044" w:type="dxa"/>
          </w:tcPr>
          <w:p w14:paraId="193CC46D" w14:textId="77777777" w:rsidR="006C4239" w:rsidRPr="00D51AE5" w:rsidRDefault="006C4239" w:rsidP="006C4239">
            <w:pPr>
              <w:pStyle w:val="ListParagraph"/>
              <w:numPr>
                <w:ilvl w:val="2"/>
                <w:numId w:val="53"/>
              </w:numPr>
              <w:ind w:left="1985" w:hanging="567"/>
              <w:jc w:val="both"/>
            </w:pPr>
            <w:r w:rsidRPr="00D51AE5">
              <w:t>The conversion of RE Contracts awarded under the RE Act but prior to the effectivity of this Circular shall be limited to those covering RE projects which are under pre-commissioning/commercial operation phase.</w:t>
            </w:r>
          </w:p>
        </w:tc>
        <w:tc>
          <w:tcPr>
            <w:tcW w:w="3590" w:type="dxa"/>
          </w:tcPr>
          <w:p w14:paraId="43E9E726" w14:textId="77777777" w:rsidR="006C4239" w:rsidRPr="006A1E11" w:rsidRDefault="006C4239" w:rsidP="006A1E11">
            <w:pPr>
              <w:ind w:left="1980"/>
              <w:jc w:val="both"/>
            </w:pPr>
          </w:p>
        </w:tc>
        <w:tc>
          <w:tcPr>
            <w:tcW w:w="4267" w:type="dxa"/>
          </w:tcPr>
          <w:p w14:paraId="47BDBEE7" w14:textId="77777777" w:rsidR="006C4239" w:rsidRPr="006A1E11" w:rsidRDefault="006C4239" w:rsidP="006A1E11">
            <w:pPr>
              <w:ind w:left="1980"/>
              <w:jc w:val="both"/>
            </w:pPr>
          </w:p>
        </w:tc>
      </w:tr>
      <w:tr w:rsidR="006C4239" w:rsidRPr="00D51AE5" w14:paraId="56FD22F3" w14:textId="1B207889" w:rsidTr="007639A7">
        <w:tc>
          <w:tcPr>
            <w:tcW w:w="6044" w:type="dxa"/>
          </w:tcPr>
          <w:p w14:paraId="510C1136" w14:textId="77777777" w:rsidR="006C4239" w:rsidRPr="00D51AE5" w:rsidRDefault="006C4239" w:rsidP="006C4239">
            <w:pPr>
              <w:pStyle w:val="ListParagraph"/>
              <w:numPr>
                <w:ilvl w:val="1"/>
                <w:numId w:val="53"/>
              </w:numPr>
              <w:ind w:hanging="421"/>
              <w:jc w:val="both"/>
            </w:pPr>
            <w:r w:rsidRPr="00D51AE5">
              <w:rPr>
                <w:b/>
                <w:bCs/>
              </w:rPr>
              <w:t>Procedures for Application.</w:t>
            </w:r>
            <w:r w:rsidRPr="00D51AE5">
              <w:t xml:space="preserve"> Applications for conversion to the new RE Contract template shall be processed based on the following procedures:</w:t>
            </w:r>
          </w:p>
        </w:tc>
        <w:tc>
          <w:tcPr>
            <w:tcW w:w="3590" w:type="dxa"/>
          </w:tcPr>
          <w:p w14:paraId="14C455E7" w14:textId="77777777" w:rsidR="006C4239" w:rsidRPr="006A1E11" w:rsidRDefault="006C4239" w:rsidP="006A1E11">
            <w:pPr>
              <w:ind w:left="1080"/>
              <w:jc w:val="both"/>
              <w:rPr>
                <w:b/>
                <w:bCs/>
              </w:rPr>
            </w:pPr>
          </w:p>
        </w:tc>
        <w:tc>
          <w:tcPr>
            <w:tcW w:w="4267" w:type="dxa"/>
          </w:tcPr>
          <w:p w14:paraId="47BCD62B" w14:textId="77777777" w:rsidR="006C4239" w:rsidRPr="006A1E11" w:rsidRDefault="006C4239" w:rsidP="006A1E11">
            <w:pPr>
              <w:ind w:left="1080"/>
              <w:jc w:val="both"/>
              <w:rPr>
                <w:b/>
                <w:bCs/>
              </w:rPr>
            </w:pPr>
          </w:p>
        </w:tc>
      </w:tr>
      <w:tr w:rsidR="006C4239" w:rsidRPr="00D51AE5" w14:paraId="0B0DB95C" w14:textId="27814A94" w:rsidTr="007639A7">
        <w:tc>
          <w:tcPr>
            <w:tcW w:w="6044" w:type="dxa"/>
          </w:tcPr>
          <w:p w14:paraId="253C080E" w14:textId="77777777" w:rsidR="006C4239" w:rsidRPr="00D51AE5" w:rsidRDefault="006C4239" w:rsidP="006C4239">
            <w:pPr>
              <w:pStyle w:val="ListParagraph"/>
              <w:numPr>
                <w:ilvl w:val="2"/>
                <w:numId w:val="54"/>
              </w:numPr>
              <w:ind w:left="1985" w:hanging="567"/>
              <w:jc w:val="both"/>
            </w:pPr>
            <w:r w:rsidRPr="00D51AE5">
              <w:t>The RE Developer shall submit through the EVOSS System the complete documents, and the relevant REMB division shall check the completeness and consistency of the submission within three (3) days.</w:t>
            </w:r>
          </w:p>
        </w:tc>
        <w:tc>
          <w:tcPr>
            <w:tcW w:w="3590" w:type="dxa"/>
          </w:tcPr>
          <w:p w14:paraId="478CDA52" w14:textId="77777777" w:rsidR="006C4239" w:rsidRPr="006A1E11" w:rsidRDefault="006C4239" w:rsidP="006A1E11">
            <w:pPr>
              <w:ind w:left="1980"/>
              <w:jc w:val="both"/>
            </w:pPr>
          </w:p>
        </w:tc>
        <w:tc>
          <w:tcPr>
            <w:tcW w:w="4267" w:type="dxa"/>
          </w:tcPr>
          <w:p w14:paraId="2616C92A" w14:textId="77777777" w:rsidR="006C4239" w:rsidRPr="006A1E11" w:rsidRDefault="006C4239" w:rsidP="006A1E11">
            <w:pPr>
              <w:ind w:left="1980"/>
              <w:jc w:val="both"/>
            </w:pPr>
          </w:p>
        </w:tc>
      </w:tr>
      <w:tr w:rsidR="006C4239" w:rsidRPr="00D51AE5" w14:paraId="3AF01AF0" w14:textId="35CE3BD5" w:rsidTr="007639A7">
        <w:tc>
          <w:tcPr>
            <w:tcW w:w="6044" w:type="dxa"/>
          </w:tcPr>
          <w:p w14:paraId="288CC1B6" w14:textId="77777777" w:rsidR="006C4239" w:rsidRPr="00D51AE5" w:rsidRDefault="006C4239" w:rsidP="006C4239">
            <w:pPr>
              <w:pStyle w:val="ListParagraph"/>
              <w:numPr>
                <w:ilvl w:val="2"/>
                <w:numId w:val="54"/>
              </w:numPr>
              <w:ind w:left="1985" w:hanging="567"/>
              <w:jc w:val="both"/>
            </w:pPr>
            <w:r w:rsidRPr="00D51AE5">
              <w:t xml:space="preserve">The concerned REMB division and LS shall conduct technical and legal (if required) evaluation based on performance of the contractor/RE Developer of its contractual obligations under the old contract/agreement and its application documents within five (5) days. </w:t>
            </w:r>
          </w:p>
        </w:tc>
        <w:tc>
          <w:tcPr>
            <w:tcW w:w="3590" w:type="dxa"/>
          </w:tcPr>
          <w:p w14:paraId="530CFC90" w14:textId="77777777" w:rsidR="006C4239" w:rsidRPr="006A1E11" w:rsidRDefault="006C4239" w:rsidP="006A1E11">
            <w:pPr>
              <w:ind w:left="1980"/>
              <w:jc w:val="both"/>
            </w:pPr>
          </w:p>
        </w:tc>
        <w:tc>
          <w:tcPr>
            <w:tcW w:w="4267" w:type="dxa"/>
          </w:tcPr>
          <w:p w14:paraId="43DA1C8A" w14:textId="77777777" w:rsidR="006C4239" w:rsidRPr="006A1E11" w:rsidRDefault="006C4239" w:rsidP="006A1E11">
            <w:pPr>
              <w:ind w:left="1980"/>
              <w:jc w:val="both"/>
            </w:pPr>
          </w:p>
        </w:tc>
      </w:tr>
      <w:tr w:rsidR="006C4239" w:rsidRPr="00D51AE5" w14:paraId="2C607FE1" w14:textId="3A31009F" w:rsidTr="007639A7">
        <w:tc>
          <w:tcPr>
            <w:tcW w:w="6044" w:type="dxa"/>
          </w:tcPr>
          <w:p w14:paraId="28464F64" w14:textId="77777777" w:rsidR="006C4239" w:rsidRPr="00D51AE5" w:rsidRDefault="006C4239" w:rsidP="006C4239">
            <w:pPr>
              <w:pStyle w:val="ListParagraph"/>
              <w:numPr>
                <w:ilvl w:val="2"/>
                <w:numId w:val="54"/>
              </w:numPr>
              <w:ind w:left="1985" w:hanging="567"/>
              <w:jc w:val="both"/>
            </w:pPr>
            <w:r w:rsidRPr="00D51AE5">
              <w:t>The REMB shall then endorse the mapping requirements to the ITMS who shall produce/print the map of the Production Area within three (3) days.</w:t>
            </w:r>
          </w:p>
        </w:tc>
        <w:tc>
          <w:tcPr>
            <w:tcW w:w="3590" w:type="dxa"/>
          </w:tcPr>
          <w:p w14:paraId="211BE9D0" w14:textId="77777777" w:rsidR="006C4239" w:rsidRPr="006A1E11" w:rsidRDefault="006C4239" w:rsidP="006A1E11">
            <w:pPr>
              <w:ind w:left="1980"/>
              <w:jc w:val="both"/>
            </w:pPr>
          </w:p>
        </w:tc>
        <w:tc>
          <w:tcPr>
            <w:tcW w:w="4267" w:type="dxa"/>
          </w:tcPr>
          <w:p w14:paraId="04F19FD1" w14:textId="77777777" w:rsidR="006C4239" w:rsidRPr="006A1E11" w:rsidRDefault="006C4239" w:rsidP="006A1E11">
            <w:pPr>
              <w:ind w:left="1980"/>
              <w:jc w:val="both"/>
            </w:pPr>
          </w:p>
        </w:tc>
      </w:tr>
      <w:tr w:rsidR="006C4239" w:rsidRPr="00D51AE5" w14:paraId="36DEB432" w14:textId="2D9A4A4D" w:rsidTr="007639A7">
        <w:tc>
          <w:tcPr>
            <w:tcW w:w="6044" w:type="dxa"/>
          </w:tcPr>
          <w:p w14:paraId="0D169855" w14:textId="77777777" w:rsidR="006C4239" w:rsidRPr="00D51AE5" w:rsidRDefault="006C4239" w:rsidP="006C4239">
            <w:pPr>
              <w:pStyle w:val="ListParagraph"/>
              <w:numPr>
                <w:ilvl w:val="2"/>
                <w:numId w:val="54"/>
              </w:numPr>
              <w:ind w:left="1985" w:hanging="567"/>
              <w:jc w:val="both"/>
            </w:pPr>
            <w:r w:rsidRPr="00D51AE5">
              <w:t>Qualified applications shall be endorsed by the REMB to the Supervising Assistant Secretary and Undersecretary, which shall be acted upon within four (4) days.</w:t>
            </w:r>
          </w:p>
        </w:tc>
        <w:tc>
          <w:tcPr>
            <w:tcW w:w="3590" w:type="dxa"/>
          </w:tcPr>
          <w:p w14:paraId="4E163772" w14:textId="77777777" w:rsidR="006C4239" w:rsidRPr="006A1E11" w:rsidRDefault="006C4239" w:rsidP="006A1E11">
            <w:pPr>
              <w:ind w:left="1980"/>
              <w:jc w:val="both"/>
            </w:pPr>
          </w:p>
        </w:tc>
        <w:tc>
          <w:tcPr>
            <w:tcW w:w="4267" w:type="dxa"/>
          </w:tcPr>
          <w:p w14:paraId="13213388" w14:textId="77777777" w:rsidR="006C4239" w:rsidRPr="006A1E11" w:rsidRDefault="006C4239" w:rsidP="006A1E11">
            <w:pPr>
              <w:ind w:left="1980"/>
              <w:jc w:val="both"/>
            </w:pPr>
          </w:p>
        </w:tc>
      </w:tr>
      <w:tr w:rsidR="006C4239" w:rsidRPr="00D51AE5" w14:paraId="3F4C460C" w14:textId="5A11A743" w:rsidTr="007639A7">
        <w:tc>
          <w:tcPr>
            <w:tcW w:w="6044" w:type="dxa"/>
          </w:tcPr>
          <w:p w14:paraId="18B3A84D" w14:textId="77777777" w:rsidR="006C4239" w:rsidRPr="00D51AE5" w:rsidRDefault="006C4239" w:rsidP="006C4239">
            <w:pPr>
              <w:pStyle w:val="ListParagraph"/>
              <w:numPr>
                <w:ilvl w:val="2"/>
                <w:numId w:val="54"/>
              </w:numPr>
              <w:ind w:left="1985" w:hanging="567"/>
              <w:jc w:val="both"/>
            </w:pPr>
            <w:r w:rsidRPr="00D51AE5">
              <w:t>Upon the concurrence of the Assistant and Undersecretary, the REMB shall notify the RE Developer of such fact and require the pre-signing of the HSC within two (2) days.</w:t>
            </w:r>
          </w:p>
        </w:tc>
        <w:tc>
          <w:tcPr>
            <w:tcW w:w="3590" w:type="dxa"/>
          </w:tcPr>
          <w:p w14:paraId="0408C51F" w14:textId="77777777" w:rsidR="006C4239" w:rsidRPr="006A1E11" w:rsidRDefault="006C4239" w:rsidP="006A1E11">
            <w:pPr>
              <w:ind w:left="1980"/>
              <w:jc w:val="both"/>
            </w:pPr>
          </w:p>
        </w:tc>
        <w:tc>
          <w:tcPr>
            <w:tcW w:w="4267" w:type="dxa"/>
          </w:tcPr>
          <w:p w14:paraId="724A976B" w14:textId="77777777" w:rsidR="006C4239" w:rsidRPr="006A1E11" w:rsidRDefault="006C4239" w:rsidP="006A1E11">
            <w:pPr>
              <w:ind w:left="1980"/>
              <w:jc w:val="both"/>
            </w:pPr>
          </w:p>
        </w:tc>
      </w:tr>
      <w:tr w:rsidR="006C4239" w:rsidRPr="00D51AE5" w14:paraId="59FD4A4A" w14:textId="67326DCD" w:rsidTr="007639A7">
        <w:tc>
          <w:tcPr>
            <w:tcW w:w="6044" w:type="dxa"/>
          </w:tcPr>
          <w:p w14:paraId="6C281D6A" w14:textId="77777777" w:rsidR="006C4239" w:rsidRPr="00D51AE5" w:rsidRDefault="006C4239" w:rsidP="006C4239">
            <w:pPr>
              <w:pStyle w:val="ListParagraph"/>
              <w:numPr>
                <w:ilvl w:val="2"/>
                <w:numId w:val="54"/>
              </w:numPr>
              <w:ind w:left="1985" w:hanging="567"/>
              <w:jc w:val="both"/>
            </w:pPr>
            <w:r w:rsidRPr="00D51AE5">
              <w:t>Within one (1) day from the RE Contract pre-signing, the REMB shall endorse the pre-signed RE Contract along with the evaluation results to the DOE Secretary for approval. The DOE Secretary shall act on the documents within seven (7) days from receipt thereof.</w:t>
            </w:r>
          </w:p>
        </w:tc>
        <w:tc>
          <w:tcPr>
            <w:tcW w:w="3590" w:type="dxa"/>
          </w:tcPr>
          <w:p w14:paraId="5A332355" w14:textId="77777777" w:rsidR="006C4239" w:rsidRPr="006A1E11" w:rsidRDefault="006C4239" w:rsidP="006A1E11">
            <w:pPr>
              <w:ind w:left="1980"/>
              <w:jc w:val="both"/>
            </w:pPr>
          </w:p>
        </w:tc>
        <w:tc>
          <w:tcPr>
            <w:tcW w:w="4267" w:type="dxa"/>
          </w:tcPr>
          <w:p w14:paraId="14AB3FD8" w14:textId="77777777" w:rsidR="006C4239" w:rsidRPr="006A1E11" w:rsidRDefault="006C4239" w:rsidP="006A1E11">
            <w:pPr>
              <w:ind w:left="1980"/>
              <w:jc w:val="both"/>
            </w:pPr>
          </w:p>
        </w:tc>
      </w:tr>
      <w:tr w:rsidR="006C4239" w:rsidRPr="00D51AE5" w14:paraId="6273E168" w14:textId="71F96BB8" w:rsidTr="007639A7">
        <w:tc>
          <w:tcPr>
            <w:tcW w:w="6044" w:type="dxa"/>
          </w:tcPr>
          <w:p w14:paraId="6517F08B" w14:textId="77777777" w:rsidR="006C4239" w:rsidRPr="00D51AE5" w:rsidRDefault="006C4239" w:rsidP="006C4239">
            <w:pPr>
              <w:pStyle w:val="ListParagraph"/>
              <w:numPr>
                <w:ilvl w:val="2"/>
                <w:numId w:val="54"/>
              </w:numPr>
              <w:ind w:left="1985" w:hanging="567"/>
              <w:jc w:val="both"/>
            </w:pPr>
            <w:r w:rsidRPr="00D51AE5">
              <w:t>The REMB, through the EVOSS System, shall upload the copy of the New RE Contract and notify the Hydropower Developer to pick-up a copy of said document.</w:t>
            </w:r>
          </w:p>
        </w:tc>
        <w:tc>
          <w:tcPr>
            <w:tcW w:w="3590" w:type="dxa"/>
          </w:tcPr>
          <w:p w14:paraId="033522E4" w14:textId="77777777" w:rsidR="006C4239" w:rsidRPr="006A1E11" w:rsidRDefault="006C4239" w:rsidP="006A1E11">
            <w:pPr>
              <w:ind w:left="1980"/>
              <w:jc w:val="both"/>
            </w:pPr>
          </w:p>
        </w:tc>
        <w:tc>
          <w:tcPr>
            <w:tcW w:w="4267" w:type="dxa"/>
          </w:tcPr>
          <w:p w14:paraId="08A65E1E" w14:textId="77777777" w:rsidR="006C4239" w:rsidRPr="006A1E11" w:rsidRDefault="006C4239" w:rsidP="006A1E11">
            <w:pPr>
              <w:ind w:left="1980"/>
              <w:jc w:val="both"/>
            </w:pPr>
          </w:p>
        </w:tc>
      </w:tr>
      <w:tr w:rsidR="006C4239" w:rsidRPr="00D51AE5" w14:paraId="34E3EB0A" w14:textId="5B944EFF" w:rsidTr="007639A7">
        <w:tc>
          <w:tcPr>
            <w:tcW w:w="6044" w:type="dxa"/>
          </w:tcPr>
          <w:p w14:paraId="183E9B99" w14:textId="77777777" w:rsidR="006C4239" w:rsidRPr="00D51AE5" w:rsidRDefault="006C4239" w:rsidP="006C4239">
            <w:pPr>
              <w:contextualSpacing/>
              <w:jc w:val="both"/>
              <w:rPr>
                <w:rFonts w:ascii="Arial" w:hAnsi="Arial" w:cs="Arial"/>
                <w:b/>
                <w:bCs/>
              </w:rPr>
            </w:pPr>
            <w:r w:rsidRPr="00D51AE5">
              <w:rPr>
                <w:rFonts w:ascii="Arial" w:hAnsi="Arial" w:cs="Arial"/>
                <w:b/>
                <w:bCs/>
              </w:rPr>
              <w:t>Section 5. Amendment of RE Contracts.</w:t>
            </w:r>
          </w:p>
        </w:tc>
        <w:tc>
          <w:tcPr>
            <w:tcW w:w="3590" w:type="dxa"/>
          </w:tcPr>
          <w:p w14:paraId="43C734F2" w14:textId="77777777" w:rsidR="006C4239" w:rsidRPr="006A1E11" w:rsidRDefault="006C4239" w:rsidP="006A1E11">
            <w:pPr>
              <w:ind w:left="360"/>
              <w:jc w:val="both"/>
              <w:rPr>
                <w:b/>
                <w:bCs/>
              </w:rPr>
            </w:pPr>
          </w:p>
        </w:tc>
        <w:tc>
          <w:tcPr>
            <w:tcW w:w="4267" w:type="dxa"/>
          </w:tcPr>
          <w:p w14:paraId="63A784BF" w14:textId="77777777" w:rsidR="006C4239" w:rsidRPr="006A1E11" w:rsidRDefault="006C4239" w:rsidP="006A1E11">
            <w:pPr>
              <w:ind w:left="360"/>
              <w:jc w:val="both"/>
              <w:rPr>
                <w:b/>
                <w:bCs/>
              </w:rPr>
            </w:pPr>
          </w:p>
        </w:tc>
      </w:tr>
      <w:tr w:rsidR="006C4239" w:rsidRPr="00D51AE5" w14:paraId="2ECA64FA" w14:textId="737E1DE6" w:rsidTr="007639A7">
        <w:tc>
          <w:tcPr>
            <w:tcW w:w="6044" w:type="dxa"/>
          </w:tcPr>
          <w:p w14:paraId="26BCA9CA" w14:textId="77777777" w:rsidR="006C4239" w:rsidRPr="00D51AE5" w:rsidRDefault="006C4239" w:rsidP="006C4239">
            <w:pPr>
              <w:pStyle w:val="ListParagraph"/>
              <w:numPr>
                <w:ilvl w:val="1"/>
                <w:numId w:val="55"/>
              </w:numPr>
              <w:ind w:left="709" w:hanging="425"/>
              <w:jc w:val="both"/>
            </w:pPr>
            <w:r w:rsidRPr="00D51AE5">
              <w:rPr>
                <w:b/>
              </w:rPr>
              <w:t xml:space="preserve">Amendment </w:t>
            </w:r>
            <w:r w:rsidRPr="00D51AE5">
              <w:rPr>
                <w:b/>
                <w:bCs/>
              </w:rPr>
              <w:t>of RE Contracts</w:t>
            </w:r>
            <w:r w:rsidRPr="00D51AE5">
              <w:t xml:space="preserve">. RE Contracts shall be amended in any of the following instances: </w:t>
            </w:r>
          </w:p>
        </w:tc>
        <w:tc>
          <w:tcPr>
            <w:tcW w:w="3590" w:type="dxa"/>
          </w:tcPr>
          <w:p w14:paraId="14D160A6" w14:textId="77777777" w:rsidR="006C4239" w:rsidRPr="006A1E11" w:rsidRDefault="006C4239" w:rsidP="006A1E11">
            <w:pPr>
              <w:ind w:left="1080"/>
              <w:jc w:val="both"/>
              <w:rPr>
                <w:b/>
              </w:rPr>
            </w:pPr>
          </w:p>
        </w:tc>
        <w:tc>
          <w:tcPr>
            <w:tcW w:w="4267" w:type="dxa"/>
          </w:tcPr>
          <w:p w14:paraId="484DEF60" w14:textId="77777777" w:rsidR="006C4239" w:rsidRPr="006A1E11" w:rsidRDefault="006C4239" w:rsidP="006A1E11">
            <w:pPr>
              <w:ind w:left="1080"/>
              <w:jc w:val="both"/>
              <w:rPr>
                <w:b/>
              </w:rPr>
            </w:pPr>
          </w:p>
        </w:tc>
      </w:tr>
      <w:tr w:rsidR="006C4239" w:rsidRPr="00D51AE5" w14:paraId="3948F639" w14:textId="594E8A63" w:rsidTr="007639A7">
        <w:tc>
          <w:tcPr>
            <w:tcW w:w="6044" w:type="dxa"/>
          </w:tcPr>
          <w:p w14:paraId="2590A64F" w14:textId="77777777" w:rsidR="006C4239" w:rsidRPr="00D51AE5" w:rsidRDefault="006C4239" w:rsidP="006C4239">
            <w:pPr>
              <w:pStyle w:val="ListParagraph"/>
              <w:numPr>
                <w:ilvl w:val="2"/>
                <w:numId w:val="55"/>
              </w:numPr>
              <w:ind w:left="1985" w:hanging="567"/>
              <w:jc w:val="both"/>
            </w:pPr>
            <w:r w:rsidRPr="00D51AE5">
              <w:t>Change to the Contract Area;</w:t>
            </w:r>
          </w:p>
        </w:tc>
        <w:tc>
          <w:tcPr>
            <w:tcW w:w="3590" w:type="dxa"/>
          </w:tcPr>
          <w:p w14:paraId="20ED6D8D" w14:textId="77777777" w:rsidR="006C4239" w:rsidRPr="006A1E11" w:rsidRDefault="006C4239" w:rsidP="006A1E11">
            <w:pPr>
              <w:ind w:left="1980"/>
              <w:jc w:val="both"/>
            </w:pPr>
          </w:p>
        </w:tc>
        <w:tc>
          <w:tcPr>
            <w:tcW w:w="4267" w:type="dxa"/>
          </w:tcPr>
          <w:p w14:paraId="351FDD6B" w14:textId="77777777" w:rsidR="006C4239" w:rsidRPr="006A1E11" w:rsidRDefault="006C4239" w:rsidP="006A1E11">
            <w:pPr>
              <w:ind w:left="1980"/>
              <w:jc w:val="both"/>
            </w:pPr>
          </w:p>
        </w:tc>
      </w:tr>
      <w:tr w:rsidR="006C4239" w:rsidRPr="00D51AE5" w14:paraId="7E7E5F5C" w14:textId="4FB3D40D" w:rsidTr="007639A7">
        <w:tc>
          <w:tcPr>
            <w:tcW w:w="6044" w:type="dxa"/>
          </w:tcPr>
          <w:p w14:paraId="3F1AB429" w14:textId="77777777" w:rsidR="006C4239" w:rsidRPr="00D51AE5" w:rsidRDefault="006C4239" w:rsidP="006C4239">
            <w:pPr>
              <w:pStyle w:val="ListParagraph"/>
              <w:numPr>
                <w:ilvl w:val="2"/>
                <w:numId w:val="55"/>
              </w:numPr>
              <w:ind w:left="1985" w:hanging="567"/>
              <w:jc w:val="both"/>
            </w:pPr>
            <w:r w:rsidRPr="00D51AE5">
              <w:t>Increase or decrease in the installed capacity of the RE project; or</w:t>
            </w:r>
          </w:p>
        </w:tc>
        <w:tc>
          <w:tcPr>
            <w:tcW w:w="3590" w:type="dxa"/>
          </w:tcPr>
          <w:p w14:paraId="3F821B0C" w14:textId="77777777" w:rsidR="006C4239" w:rsidRPr="006A1E11" w:rsidRDefault="006C4239" w:rsidP="006A1E11">
            <w:pPr>
              <w:ind w:left="1980"/>
              <w:jc w:val="both"/>
            </w:pPr>
          </w:p>
        </w:tc>
        <w:tc>
          <w:tcPr>
            <w:tcW w:w="4267" w:type="dxa"/>
          </w:tcPr>
          <w:p w14:paraId="40DAE012" w14:textId="77777777" w:rsidR="006C4239" w:rsidRPr="006A1E11" w:rsidRDefault="006C4239" w:rsidP="006A1E11">
            <w:pPr>
              <w:ind w:left="1980"/>
              <w:jc w:val="both"/>
            </w:pPr>
          </w:p>
        </w:tc>
      </w:tr>
      <w:tr w:rsidR="006C4239" w:rsidRPr="00D51AE5" w14:paraId="69D8417A" w14:textId="5EC8A862" w:rsidTr="007639A7">
        <w:tc>
          <w:tcPr>
            <w:tcW w:w="6044" w:type="dxa"/>
          </w:tcPr>
          <w:p w14:paraId="511D3DCA" w14:textId="77777777" w:rsidR="006C4239" w:rsidRPr="00D51AE5" w:rsidRDefault="006C4239" w:rsidP="006C4239">
            <w:pPr>
              <w:pStyle w:val="ListParagraph"/>
              <w:numPr>
                <w:ilvl w:val="2"/>
                <w:numId w:val="55"/>
              </w:numPr>
              <w:ind w:left="1985" w:hanging="567"/>
              <w:jc w:val="both"/>
            </w:pPr>
            <w:r w:rsidRPr="00D51AE5">
              <w:t>Change of location of project site.</w:t>
            </w:r>
          </w:p>
        </w:tc>
        <w:tc>
          <w:tcPr>
            <w:tcW w:w="3590" w:type="dxa"/>
          </w:tcPr>
          <w:p w14:paraId="6C4F501A" w14:textId="77777777" w:rsidR="006C4239" w:rsidRPr="006A1E11" w:rsidRDefault="006C4239" w:rsidP="006A1E11">
            <w:pPr>
              <w:ind w:left="1980"/>
              <w:jc w:val="both"/>
            </w:pPr>
          </w:p>
        </w:tc>
        <w:tc>
          <w:tcPr>
            <w:tcW w:w="4267" w:type="dxa"/>
          </w:tcPr>
          <w:p w14:paraId="52F0A9A4" w14:textId="77777777" w:rsidR="006C4239" w:rsidRPr="006A1E11" w:rsidRDefault="006C4239" w:rsidP="006A1E11">
            <w:pPr>
              <w:ind w:left="1980"/>
              <w:jc w:val="both"/>
            </w:pPr>
          </w:p>
        </w:tc>
      </w:tr>
      <w:tr w:rsidR="006C4239" w:rsidRPr="00D51AE5" w14:paraId="360A7D06" w14:textId="6E2738C8" w:rsidTr="007639A7">
        <w:tc>
          <w:tcPr>
            <w:tcW w:w="6044" w:type="dxa"/>
          </w:tcPr>
          <w:p w14:paraId="69F9FA76" w14:textId="77777777" w:rsidR="006C4239" w:rsidRPr="00D51AE5" w:rsidRDefault="006C4239" w:rsidP="006C4239">
            <w:pPr>
              <w:pStyle w:val="ListParagraph"/>
              <w:numPr>
                <w:ilvl w:val="1"/>
                <w:numId w:val="55"/>
              </w:numPr>
              <w:ind w:left="709" w:hanging="425"/>
              <w:jc w:val="both"/>
            </w:pPr>
            <w:r w:rsidRPr="00D51AE5">
              <w:t>No amendment to the RE Contract is required when the RE project transitions from the Pre-Development to the Development Stage. However, the relinquishment of a portion of the Contract Area after identifying the Production Area pursuant to Section 3.2 of this Chapter shall result in the issuance of new annex to the RE Contract, indicating the revised Contract Area, with corresponding map and technical description.</w:t>
            </w:r>
          </w:p>
        </w:tc>
        <w:tc>
          <w:tcPr>
            <w:tcW w:w="3590" w:type="dxa"/>
          </w:tcPr>
          <w:p w14:paraId="1C431E69" w14:textId="77777777" w:rsidR="006C4239" w:rsidRPr="006A1E11" w:rsidRDefault="006C4239" w:rsidP="006A1E11">
            <w:pPr>
              <w:ind w:left="1080"/>
              <w:jc w:val="both"/>
            </w:pPr>
          </w:p>
        </w:tc>
        <w:tc>
          <w:tcPr>
            <w:tcW w:w="4267" w:type="dxa"/>
          </w:tcPr>
          <w:p w14:paraId="71BA3056" w14:textId="77777777" w:rsidR="006C4239" w:rsidRPr="006A1E11" w:rsidRDefault="006C4239" w:rsidP="006A1E11">
            <w:pPr>
              <w:ind w:left="1080"/>
              <w:jc w:val="both"/>
            </w:pPr>
          </w:p>
        </w:tc>
      </w:tr>
      <w:tr w:rsidR="006C4239" w:rsidRPr="00D51AE5" w14:paraId="6E287E77" w14:textId="37C091E1" w:rsidTr="007639A7">
        <w:tc>
          <w:tcPr>
            <w:tcW w:w="6044" w:type="dxa"/>
          </w:tcPr>
          <w:p w14:paraId="20F4E601" w14:textId="77777777" w:rsidR="006C4239" w:rsidRPr="00D51AE5" w:rsidRDefault="006C4239" w:rsidP="006C4239">
            <w:pPr>
              <w:pStyle w:val="ListParagraph"/>
              <w:numPr>
                <w:ilvl w:val="1"/>
                <w:numId w:val="55"/>
              </w:numPr>
              <w:ind w:left="709" w:hanging="425"/>
              <w:jc w:val="both"/>
            </w:pPr>
            <w:r w:rsidRPr="00D51AE5">
              <w:rPr>
                <w:b/>
                <w:bCs/>
              </w:rPr>
              <w:t xml:space="preserve">Requirements for </w:t>
            </w:r>
            <w:r w:rsidRPr="00D51AE5">
              <w:rPr>
                <w:b/>
              </w:rPr>
              <w:t>Amendments to the Contract Area</w:t>
            </w:r>
            <w:r w:rsidRPr="00D51AE5">
              <w:t>. The RE Developer shall submit a request in writing addressed to the REMB Director, and shall comply with the following:</w:t>
            </w:r>
          </w:p>
        </w:tc>
        <w:tc>
          <w:tcPr>
            <w:tcW w:w="3590" w:type="dxa"/>
          </w:tcPr>
          <w:p w14:paraId="374028C3" w14:textId="77777777" w:rsidR="006C4239" w:rsidRPr="006A1E11" w:rsidRDefault="006C4239" w:rsidP="006A1E11">
            <w:pPr>
              <w:ind w:left="1080"/>
              <w:jc w:val="both"/>
              <w:rPr>
                <w:b/>
                <w:bCs/>
              </w:rPr>
            </w:pPr>
          </w:p>
        </w:tc>
        <w:tc>
          <w:tcPr>
            <w:tcW w:w="4267" w:type="dxa"/>
          </w:tcPr>
          <w:p w14:paraId="71A940BF" w14:textId="77777777" w:rsidR="006C4239" w:rsidRPr="006A1E11" w:rsidRDefault="006C4239" w:rsidP="006A1E11">
            <w:pPr>
              <w:ind w:left="1080"/>
              <w:jc w:val="both"/>
              <w:rPr>
                <w:b/>
                <w:bCs/>
              </w:rPr>
            </w:pPr>
          </w:p>
        </w:tc>
      </w:tr>
      <w:tr w:rsidR="006C4239" w:rsidRPr="00D51AE5" w14:paraId="6BB1BAA9" w14:textId="2B030A3E" w:rsidTr="007639A7">
        <w:tc>
          <w:tcPr>
            <w:tcW w:w="6044" w:type="dxa"/>
          </w:tcPr>
          <w:p w14:paraId="22888DB9" w14:textId="77777777" w:rsidR="006C4239" w:rsidRPr="00D51AE5" w:rsidRDefault="006C4239" w:rsidP="006C4239">
            <w:pPr>
              <w:pStyle w:val="ListParagraph"/>
              <w:numPr>
                <w:ilvl w:val="2"/>
                <w:numId w:val="55"/>
              </w:numPr>
              <w:ind w:left="1985" w:hanging="567"/>
              <w:jc w:val="both"/>
            </w:pPr>
            <w:r w:rsidRPr="00D51AE5">
              <w:t>Technical description of proposed amendment to the Contract Area indicates the technical specifications and other mapping requirement for the purpose of area verification;</w:t>
            </w:r>
          </w:p>
        </w:tc>
        <w:tc>
          <w:tcPr>
            <w:tcW w:w="3590" w:type="dxa"/>
          </w:tcPr>
          <w:p w14:paraId="14AA47A3" w14:textId="77777777" w:rsidR="006C4239" w:rsidRPr="006A1E11" w:rsidRDefault="006C4239" w:rsidP="006A1E11">
            <w:pPr>
              <w:ind w:left="1980"/>
              <w:jc w:val="both"/>
            </w:pPr>
          </w:p>
        </w:tc>
        <w:tc>
          <w:tcPr>
            <w:tcW w:w="4267" w:type="dxa"/>
          </w:tcPr>
          <w:p w14:paraId="2EACC11E" w14:textId="77777777" w:rsidR="006C4239" w:rsidRPr="006A1E11" w:rsidRDefault="006C4239" w:rsidP="006A1E11">
            <w:pPr>
              <w:ind w:left="1980"/>
              <w:jc w:val="both"/>
            </w:pPr>
          </w:p>
        </w:tc>
      </w:tr>
      <w:tr w:rsidR="006C4239" w:rsidRPr="00D51AE5" w14:paraId="17DE5EAC" w14:textId="0C89DD6C" w:rsidTr="007639A7">
        <w:tc>
          <w:tcPr>
            <w:tcW w:w="6044" w:type="dxa"/>
          </w:tcPr>
          <w:p w14:paraId="18D0A889" w14:textId="77777777" w:rsidR="006C4239" w:rsidRPr="00D51AE5" w:rsidRDefault="006C4239" w:rsidP="006C4239">
            <w:pPr>
              <w:pStyle w:val="ListParagraph"/>
              <w:numPr>
                <w:ilvl w:val="2"/>
                <w:numId w:val="55"/>
              </w:numPr>
              <w:ind w:left="1985" w:hanging="567"/>
              <w:jc w:val="both"/>
            </w:pPr>
            <w:r w:rsidRPr="00D51AE5">
              <w:t>The proposed amendment shall cover an area contiguous to the existing Contract Area and, upon verification by the ITMS pursuant to the process in Sections [per RE technology] of this Chapter, is available and open for RE resource exploration, development and/or utilization;</w:t>
            </w:r>
          </w:p>
        </w:tc>
        <w:tc>
          <w:tcPr>
            <w:tcW w:w="3590" w:type="dxa"/>
          </w:tcPr>
          <w:p w14:paraId="07DB2B85" w14:textId="77777777" w:rsidR="006C4239" w:rsidRPr="006A1E11" w:rsidRDefault="006C4239" w:rsidP="006A1E11">
            <w:pPr>
              <w:ind w:left="1980"/>
              <w:jc w:val="both"/>
            </w:pPr>
          </w:p>
        </w:tc>
        <w:tc>
          <w:tcPr>
            <w:tcW w:w="4267" w:type="dxa"/>
          </w:tcPr>
          <w:p w14:paraId="20002711" w14:textId="77777777" w:rsidR="006C4239" w:rsidRPr="006A1E11" w:rsidRDefault="006C4239" w:rsidP="006A1E11">
            <w:pPr>
              <w:ind w:left="1980"/>
              <w:jc w:val="both"/>
            </w:pPr>
          </w:p>
        </w:tc>
      </w:tr>
      <w:tr w:rsidR="006C4239" w:rsidRPr="00D51AE5" w14:paraId="732B772E" w14:textId="5AA50C1A" w:rsidTr="007639A7">
        <w:tc>
          <w:tcPr>
            <w:tcW w:w="6044" w:type="dxa"/>
          </w:tcPr>
          <w:p w14:paraId="0A156E0C" w14:textId="77777777" w:rsidR="006C4239" w:rsidRPr="00D51AE5" w:rsidRDefault="006C4239" w:rsidP="006C4239">
            <w:pPr>
              <w:pStyle w:val="ListParagraph"/>
              <w:numPr>
                <w:ilvl w:val="2"/>
                <w:numId w:val="55"/>
              </w:numPr>
              <w:ind w:left="1985" w:hanging="567"/>
              <w:jc w:val="both"/>
            </w:pPr>
            <w:r w:rsidRPr="00D51AE5">
              <w:t>The amendment of the Contract Area is justified and reasonable, which may be proven by: (a) the results of the resource assessment, duly verified by the concerned REMB unit; (b) proof that the RE Developer is not in default of its technical and financial obligations under the RE Contract; and (c) other relevant facts and/or documents; and</w:t>
            </w:r>
          </w:p>
        </w:tc>
        <w:tc>
          <w:tcPr>
            <w:tcW w:w="3590" w:type="dxa"/>
          </w:tcPr>
          <w:p w14:paraId="34F037FD" w14:textId="77777777" w:rsidR="006C4239" w:rsidRPr="006A1E11" w:rsidRDefault="006C4239" w:rsidP="006A1E11">
            <w:pPr>
              <w:ind w:left="1980"/>
              <w:jc w:val="both"/>
            </w:pPr>
          </w:p>
        </w:tc>
        <w:tc>
          <w:tcPr>
            <w:tcW w:w="4267" w:type="dxa"/>
          </w:tcPr>
          <w:p w14:paraId="08CE35E3" w14:textId="77777777" w:rsidR="006C4239" w:rsidRPr="006A1E11" w:rsidRDefault="006C4239" w:rsidP="006A1E11">
            <w:pPr>
              <w:ind w:left="1980"/>
              <w:jc w:val="both"/>
            </w:pPr>
          </w:p>
        </w:tc>
      </w:tr>
      <w:tr w:rsidR="006C4239" w:rsidRPr="00D51AE5" w14:paraId="5047C10D" w14:textId="1980BD19" w:rsidTr="007639A7">
        <w:tc>
          <w:tcPr>
            <w:tcW w:w="6044" w:type="dxa"/>
          </w:tcPr>
          <w:p w14:paraId="6CD55C6D" w14:textId="77777777" w:rsidR="006C4239" w:rsidRPr="00D51AE5" w:rsidRDefault="006C4239" w:rsidP="006C4239">
            <w:pPr>
              <w:pStyle w:val="ListParagraph"/>
              <w:numPr>
                <w:ilvl w:val="2"/>
                <w:numId w:val="55"/>
              </w:numPr>
              <w:ind w:left="1985" w:hanging="567"/>
              <w:jc w:val="both"/>
            </w:pPr>
            <w:r w:rsidRPr="00D51AE5">
              <w:t>The Work Program with respect to the amended Contract Area is acceptable.</w:t>
            </w:r>
          </w:p>
        </w:tc>
        <w:tc>
          <w:tcPr>
            <w:tcW w:w="3590" w:type="dxa"/>
          </w:tcPr>
          <w:p w14:paraId="7AC24E4E" w14:textId="77777777" w:rsidR="006C4239" w:rsidRPr="006A1E11" w:rsidRDefault="006C4239" w:rsidP="006A1E11">
            <w:pPr>
              <w:ind w:left="1980"/>
              <w:jc w:val="both"/>
            </w:pPr>
          </w:p>
        </w:tc>
        <w:tc>
          <w:tcPr>
            <w:tcW w:w="4267" w:type="dxa"/>
          </w:tcPr>
          <w:p w14:paraId="7AE32F8F" w14:textId="77777777" w:rsidR="006C4239" w:rsidRPr="006A1E11" w:rsidRDefault="006C4239" w:rsidP="006A1E11">
            <w:pPr>
              <w:ind w:left="1980"/>
              <w:jc w:val="both"/>
            </w:pPr>
          </w:p>
        </w:tc>
      </w:tr>
      <w:tr w:rsidR="006C4239" w:rsidRPr="00D51AE5" w14:paraId="2306E893" w14:textId="4AF305E1" w:rsidTr="007639A7">
        <w:tc>
          <w:tcPr>
            <w:tcW w:w="6044" w:type="dxa"/>
          </w:tcPr>
          <w:p w14:paraId="1C3E7478" w14:textId="77777777" w:rsidR="006C4239" w:rsidRPr="00D51AE5" w:rsidRDefault="006C4239" w:rsidP="006C4239">
            <w:pPr>
              <w:pStyle w:val="ListParagraph"/>
              <w:numPr>
                <w:ilvl w:val="1"/>
                <w:numId w:val="55"/>
              </w:numPr>
              <w:ind w:left="709"/>
              <w:jc w:val="both"/>
            </w:pPr>
            <w:r w:rsidRPr="00D51AE5">
              <w:rPr>
                <w:b/>
                <w:bCs/>
              </w:rPr>
              <w:t xml:space="preserve">Requirements for </w:t>
            </w:r>
            <w:r w:rsidRPr="00D51AE5">
              <w:rPr>
                <w:b/>
              </w:rPr>
              <w:t>Other Amendments</w:t>
            </w:r>
            <w:r w:rsidRPr="00D51AE5">
              <w:t>. The RE Developer shall submit a request in writing addressed to the REMB Director, together with the following:</w:t>
            </w:r>
          </w:p>
        </w:tc>
        <w:tc>
          <w:tcPr>
            <w:tcW w:w="3590" w:type="dxa"/>
          </w:tcPr>
          <w:p w14:paraId="194F437E" w14:textId="77777777" w:rsidR="006C4239" w:rsidRPr="006A1E11" w:rsidRDefault="006C4239" w:rsidP="006A1E11">
            <w:pPr>
              <w:ind w:left="1080"/>
              <w:jc w:val="both"/>
              <w:rPr>
                <w:b/>
                <w:bCs/>
              </w:rPr>
            </w:pPr>
          </w:p>
        </w:tc>
        <w:tc>
          <w:tcPr>
            <w:tcW w:w="4267" w:type="dxa"/>
          </w:tcPr>
          <w:p w14:paraId="68357070" w14:textId="77777777" w:rsidR="006C4239" w:rsidRPr="006A1E11" w:rsidRDefault="006C4239" w:rsidP="006A1E11">
            <w:pPr>
              <w:ind w:left="1080"/>
              <w:jc w:val="both"/>
              <w:rPr>
                <w:b/>
                <w:bCs/>
              </w:rPr>
            </w:pPr>
          </w:p>
        </w:tc>
      </w:tr>
      <w:tr w:rsidR="006C4239" w:rsidRPr="00D51AE5" w14:paraId="0164514D" w14:textId="1C13C645" w:rsidTr="007639A7">
        <w:tc>
          <w:tcPr>
            <w:tcW w:w="6044" w:type="dxa"/>
          </w:tcPr>
          <w:p w14:paraId="5C995525" w14:textId="77777777" w:rsidR="006C4239" w:rsidRPr="00477F7B" w:rsidRDefault="006C4239" w:rsidP="006C4239">
            <w:pPr>
              <w:pStyle w:val="ListParagraph"/>
              <w:numPr>
                <w:ilvl w:val="2"/>
                <w:numId w:val="55"/>
              </w:numPr>
              <w:ind w:left="1985" w:hanging="567"/>
              <w:jc w:val="both"/>
            </w:pPr>
            <w:r w:rsidRPr="00477F7B">
              <w:t xml:space="preserve">Proof that the amendment is justified and reasonable; </w:t>
            </w:r>
          </w:p>
        </w:tc>
        <w:tc>
          <w:tcPr>
            <w:tcW w:w="3590" w:type="dxa"/>
          </w:tcPr>
          <w:p w14:paraId="1BDD71BD" w14:textId="77777777" w:rsidR="006C4239" w:rsidRPr="006A1E11" w:rsidRDefault="006C4239" w:rsidP="006A1E11">
            <w:pPr>
              <w:ind w:left="1980"/>
              <w:jc w:val="both"/>
            </w:pPr>
          </w:p>
        </w:tc>
        <w:tc>
          <w:tcPr>
            <w:tcW w:w="4267" w:type="dxa"/>
          </w:tcPr>
          <w:p w14:paraId="3DA9FDDD" w14:textId="77777777" w:rsidR="006C4239" w:rsidRPr="006A1E11" w:rsidRDefault="006C4239" w:rsidP="006A1E11">
            <w:pPr>
              <w:ind w:left="1980"/>
              <w:jc w:val="both"/>
            </w:pPr>
          </w:p>
        </w:tc>
      </w:tr>
      <w:tr w:rsidR="006C4239" w:rsidRPr="00D51AE5" w14:paraId="1F99B156" w14:textId="1D66ECB7" w:rsidTr="007639A7">
        <w:tc>
          <w:tcPr>
            <w:tcW w:w="6044" w:type="dxa"/>
          </w:tcPr>
          <w:p w14:paraId="008F96D2" w14:textId="77777777" w:rsidR="006C4239" w:rsidRPr="00477F7B" w:rsidRDefault="006C4239" w:rsidP="006C4239">
            <w:pPr>
              <w:pStyle w:val="ListParagraph"/>
              <w:numPr>
                <w:ilvl w:val="2"/>
                <w:numId w:val="55"/>
              </w:numPr>
              <w:ind w:left="1985" w:hanging="567"/>
              <w:jc w:val="both"/>
            </w:pPr>
            <w:r w:rsidRPr="00477F7B">
              <w:t>Proof that the RE Developer is not in default of its technical and financial obligations under the RE Contract; and</w:t>
            </w:r>
          </w:p>
        </w:tc>
        <w:tc>
          <w:tcPr>
            <w:tcW w:w="3590" w:type="dxa"/>
          </w:tcPr>
          <w:p w14:paraId="1653F288" w14:textId="77777777" w:rsidR="006C4239" w:rsidRPr="006A1E11" w:rsidRDefault="006C4239" w:rsidP="006A1E11">
            <w:pPr>
              <w:ind w:left="1980"/>
              <w:jc w:val="both"/>
            </w:pPr>
          </w:p>
        </w:tc>
        <w:tc>
          <w:tcPr>
            <w:tcW w:w="4267" w:type="dxa"/>
          </w:tcPr>
          <w:p w14:paraId="1093E075" w14:textId="77777777" w:rsidR="006C4239" w:rsidRPr="006A1E11" w:rsidRDefault="006C4239" w:rsidP="006A1E11">
            <w:pPr>
              <w:ind w:left="1980"/>
              <w:jc w:val="both"/>
            </w:pPr>
          </w:p>
        </w:tc>
      </w:tr>
      <w:tr w:rsidR="006C4239" w:rsidRPr="00D51AE5" w14:paraId="188D77DF" w14:textId="39B9BB8D" w:rsidTr="007639A7">
        <w:tc>
          <w:tcPr>
            <w:tcW w:w="6044" w:type="dxa"/>
          </w:tcPr>
          <w:p w14:paraId="6634F44F" w14:textId="77777777" w:rsidR="006C4239" w:rsidRPr="00D51AE5" w:rsidRDefault="006C4239" w:rsidP="006C4239">
            <w:pPr>
              <w:pStyle w:val="ListParagraph"/>
              <w:numPr>
                <w:ilvl w:val="2"/>
                <w:numId w:val="55"/>
              </w:numPr>
              <w:ind w:left="1985" w:hanging="567"/>
              <w:jc w:val="both"/>
            </w:pPr>
            <w:r w:rsidRPr="00D51AE5">
              <w:t>Other relevant facts and/or documents.</w:t>
            </w:r>
          </w:p>
        </w:tc>
        <w:tc>
          <w:tcPr>
            <w:tcW w:w="3590" w:type="dxa"/>
          </w:tcPr>
          <w:p w14:paraId="6192EF82" w14:textId="77777777" w:rsidR="006C4239" w:rsidRPr="006A1E11" w:rsidRDefault="006C4239" w:rsidP="006A1E11">
            <w:pPr>
              <w:ind w:left="1980"/>
              <w:jc w:val="both"/>
            </w:pPr>
          </w:p>
        </w:tc>
        <w:tc>
          <w:tcPr>
            <w:tcW w:w="4267" w:type="dxa"/>
          </w:tcPr>
          <w:p w14:paraId="255CEEDC" w14:textId="77777777" w:rsidR="006C4239" w:rsidRPr="006A1E11" w:rsidRDefault="006C4239" w:rsidP="006A1E11">
            <w:pPr>
              <w:ind w:left="1980"/>
              <w:jc w:val="both"/>
            </w:pPr>
          </w:p>
        </w:tc>
      </w:tr>
      <w:tr w:rsidR="006C4239" w:rsidRPr="00D51AE5" w14:paraId="45DCABF2" w14:textId="79594309" w:rsidTr="007639A7">
        <w:tc>
          <w:tcPr>
            <w:tcW w:w="6044" w:type="dxa"/>
          </w:tcPr>
          <w:p w14:paraId="6AEA9ED8" w14:textId="77777777" w:rsidR="006C4239" w:rsidRPr="00D51AE5" w:rsidRDefault="006C4239" w:rsidP="006C4239">
            <w:pPr>
              <w:pStyle w:val="ListParagraph"/>
              <w:numPr>
                <w:ilvl w:val="1"/>
                <w:numId w:val="55"/>
              </w:numPr>
              <w:jc w:val="both"/>
            </w:pPr>
            <w:r w:rsidRPr="00D51AE5">
              <w:t>Only a revised COR shall be issued in case of the following changes:</w:t>
            </w:r>
          </w:p>
        </w:tc>
        <w:tc>
          <w:tcPr>
            <w:tcW w:w="3590" w:type="dxa"/>
          </w:tcPr>
          <w:p w14:paraId="25F98E86" w14:textId="77777777" w:rsidR="006C4239" w:rsidRPr="006A1E11" w:rsidRDefault="006C4239" w:rsidP="006A1E11">
            <w:pPr>
              <w:ind w:left="1080"/>
              <w:jc w:val="both"/>
            </w:pPr>
          </w:p>
        </w:tc>
        <w:tc>
          <w:tcPr>
            <w:tcW w:w="4267" w:type="dxa"/>
          </w:tcPr>
          <w:p w14:paraId="706D987E" w14:textId="77777777" w:rsidR="006C4239" w:rsidRPr="006A1E11" w:rsidRDefault="006C4239" w:rsidP="006A1E11">
            <w:pPr>
              <w:ind w:left="1080"/>
              <w:jc w:val="both"/>
            </w:pPr>
          </w:p>
        </w:tc>
      </w:tr>
      <w:tr w:rsidR="006C4239" w:rsidRPr="00D51AE5" w14:paraId="1EF053E0" w14:textId="28D03ED7" w:rsidTr="007639A7">
        <w:tc>
          <w:tcPr>
            <w:tcW w:w="6044" w:type="dxa"/>
          </w:tcPr>
          <w:p w14:paraId="3DBD36E9" w14:textId="77777777" w:rsidR="006C4239" w:rsidRPr="00D51AE5" w:rsidRDefault="006C4239" w:rsidP="006C4239">
            <w:pPr>
              <w:pStyle w:val="ListParagraph"/>
              <w:numPr>
                <w:ilvl w:val="2"/>
                <w:numId w:val="55"/>
              </w:numPr>
              <w:ind w:left="1985" w:hanging="567"/>
              <w:jc w:val="both"/>
            </w:pPr>
            <w:r w:rsidRPr="00D51AE5">
              <w:t>Company name of the RE Developer; and/or</w:t>
            </w:r>
          </w:p>
        </w:tc>
        <w:tc>
          <w:tcPr>
            <w:tcW w:w="3590" w:type="dxa"/>
          </w:tcPr>
          <w:p w14:paraId="2E6CE3C9" w14:textId="77777777" w:rsidR="006C4239" w:rsidRPr="006A1E11" w:rsidRDefault="006C4239" w:rsidP="006A1E11">
            <w:pPr>
              <w:ind w:left="1980"/>
              <w:jc w:val="both"/>
            </w:pPr>
          </w:p>
        </w:tc>
        <w:tc>
          <w:tcPr>
            <w:tcW w:w="4267" w:type="dxa"/>
          </w:tcPr>
          <w:p w14:paraId="5807947F" w14:textId="77777777" w:rsidR="006C4239" w:rsidRPr="006A1E11" w:rsidRDefault="006C4239" w:rsidP="006A1E11">
            <w:pPr>
              <w:ind w:left="1980"/>
              <w:jc w:val="both"/>
            </w:pPr>
          </w:p>
        </w:tc>
      </w:tr>
      <w:tr w:rsidR="006C4239" w:rsidRPr="00D51AE5" w14:paraId="0028C38F" w14:textId="79C7D9FF" w:rsidTr="007639A7">
        <w:tc>
          <w:tcPr>
            <w:tcW w:w="6044" w:type="dxa"/>
          </w:tcPr>
          <w:p w14:paraId="04CE79F1" w14:textId="77777777" w:rsidR="006C4239" w:rsidRPr="00D51AE5" w:rsidRDefault="006C4239" w:rsidP="006C4239">
            <w:pPr>
              <w:pStyle w:val="ListParagraph"/>
              <w:numPr>
                <w:ilvl w:val="2"/>
                <w:numId w:val="55"/>
              </w:numPr>
              <w:ind w:left="1985" w:hanging="567"/>
              <w:jc w:val="both"/>
            </w:pPr>
            <w:r w:rsidRPr="00D51AE5">
              <w:t>Assignment of RE Contract in accordance with the terms thereof, to an entity that has the legal, technical, and financial qualifications to undertake the RE project.</w:t>
            </w:r>
          </w:p>
        </w:tc>
        <w:tc>
          <w:tcPr>
            <w:tcW w:w="3590" w:type="dxa"/>
          </w:tcPr>
          <w:p w14:paraId="4E01699B" w14:textId="77777777" w:rsidR="006C4239" w:rsidRPr="006A1E11" w:rsidRDefault="006C4239" w:rsidP="006A1E11">
            <w:pPr>
              <w:ind w:left="1980"/>
              <w:jc w:val="both"/>
            </w:pPr>
          </w:p>
        </w:tc>
        <w:tc>
          <w:tcPr>
            <w:tcW w:w="4267" w:type="dxa"/>
          </w:tcPr>
          <w:p w14:paraId="0303064C" w14:textId="77777777" w:rsidR="006C4239" w:rsidRPr="006A1E11" w:rsidRDefault="006C4239" w:rsidP="006A1E11">
            <w:pPr>
              <w:ind w:left="1980"/>
              <w:jc w:val="both"/>
            </w:pPr>
          </w:p>
        </w:tc>
      </w:tr>
      <w:tr w:rsidR="006C4239" w:rsidRPr="00D51AE5" w14:paraId="3D16EF68" w14:textId="1FC6892C" w:rsidTr="007639A7">
        <w:tc>
          <w:tcPr>
            <w:tcW w:w="6044" w:type="dxa"/>
          </w:tcPr>
          <w:p w14:paraId="509D496E" w14:textId="5E968C15" w:rsidR="006C4239" w:rsidRPr="00D51AE5" w:rsidRDefault="006C4239" w:rsidP="006C4239">
            <w:pPr>
              <w:jc w:val="both"/>
              <w:rPr>
                <w:rFonts w:ascii="Arial" w:hAnsi="Arial" w:cs="Arial"/>
              </w:rPr>
            </w:pPr>
            <w:r w:rsidRPr="00D51AE5">
              <w:rPr>
                <w:rFonts w:ascii="Arial" w:hAnsi="Arial" w:cs="Arial"/>
              </w:rPr>
              <w:t>The amendments under this Section shall require the surrender of the original COR prior to evaluation of the request; Provided, that in the case of an amendment solely for the change of the company name, the request shall be directly endorsed to the DOE Secretary after legal evaluation.</w:t>
            </w:r>
          </w:p>
        </w:tc>
        <w:tc>
          <w:tcPr>
            <w:tcW w:w="3590" w:type="dxa"/>
          </w:tcPr>
          <w:p w14:paraId="6585F18F" w14:textId="77777777" w:rsidR="006C4239" w:rsidRPr="006A1E11" w:rsidRDefault="006C4239" w:rsidP="006A1E11">
            <w:pPr>
              <w:ind w:left="360"/>
              <w:jc w:val="both"/>
            </w:pPr>
          </w:p>
        </w:tc>
        <w:tc>
          <w:tcPr>
            <w:tcW w:w="4267" w:type="dxa"/>
          </w:tcPr>
          <w:p w14:paraId="1E891ACD" w14:textId="77777777" w:rsidR="006C4239" w:rsidRPr="006A1E11" w:rsidRDefault="006C4239" w:rsidP="006A1E11">
            <w:pPr>
              <w:ind w:left="360"/>
              <w:jc w:val="both"/>
            </w:pPr>
          </w:p>
        </w:tc>
      </w:tr>
      <w:tr w:rsidR="006C4239" w:rsidRPr="00D51AE5" w14:paraId="61E670C3" w14:textId="641BF9E2" w:rsidTr="007639A7">
        <w:tc>
          <w:tcPr>
            <w:tcW w:w="6044" w:type="dxa"/>
          </w:tcPr>
          <w:p w14:paraId="33EB3895" w14:textId="77777777" w:rsidR="006C4239" w:rsidRPr="00D51AE5" w:rsidRDefault="006C4239" w:rsidP="006C4239">
            <w:pPr>
              <w:pStyle w:val="ListParagraph"/>
              <w:numPr>
                <w:ilvl w:val="1"/>
                <w:numId w:val="55"/>
              </w:numPr>
              <w:ind w:left="709"/>
              <w:jc w:val="both"/>
            </w:pPr>
            <w:r w:rsidRPr="00D51AE5">
              <w:rPr>
                <w:b/>
              </w:rPr>
              <w:t xml:space="preserve">Evaluation of Requests for Amendment of </w:t>
            </w:r>
            <w:r w:rsidRPr="00D51AE5">
              <w:rPr>
                <w:b/>
                <w:bCs/>
              </w:rPr>
              <w:t>RE Service Contract</w:t>
            </w:r>
            <w:r w:rsidRPr="00D51AE5">
              <w:t xml:space="preserve">. The </w:t>
            </w:r>
            <w:r w:rsidRPr="00D51AE5">
              <w:rPr>
                <w:rFonts w:eastAsia="Arial"/>
              </w:rPr>
              <w:t xml:space="preserve">RE Developer shall submit through the EVOSS System the complete set of documentary requirements </w:t>
            </w:r>
            <w:r w:rsidRPr="00D51AE5">
              <w:t>for the request for amendment of RE Contract, which shall be processed as follows:</w:t>
            </w:r>
          </w:p>
        </w:tc>
        <w:tc>
          <w:tcPr>
            <w:tcW w:w="3590" w:type="dxa"/>
          </w:tcPr>
          <w:p w14:paraId="33A9BBBB" w14:textId="77777777" w:rsidR="006C4239" w:rsidRPr="006A1E11" w:rsidRDefault="006C4239" w:rsidP="006A1E11">
            <w:pPr>
              <w:ind w:left="1080"/>
              <w:jc w:val="both"/>
              <w:rPr>
                <w:b/>
              </w:rPr>
            </w:pPr>
          </w:p>
        </w:tc>
        <w:tc>
          <w:tcPr>
            <w:tcW w:w="4267" w:type="dxa"/>
          </w:tcPr>
          <w:p w14:paraId="204E51F5" w14:textId="77777777" w:rsidR="006C4239" w:rsidRPr="006A1E11" w:rsidRDefault="006C4239" w:rsidP="006A1E11">
            <w:pPr>
              <w:ind w:left="1080"/>
              <w:jc w:val="both"/>
              <w:rPr>
                <w:b/>
              </w:rPr>
            </w:pPr>
          </w:p>
        </w:tc>
      </w:tr>
      <w:tr w:rsidR="006C4239" w:rsidRPr="00D51AE5" w14:paraId="48ECC589" w14:textId="3EB6288D" w:rsidTr="007639A7">
        <w:tc>
          <w:tcPr>
            <w:tcW w:w="6044" w:type="dxa"/>
          </w:tcPr>
          <w:p w14:paraId="6080D15D" w14:textId="77777777" w:rsidR="006C4239" w:rsidRPr="00D51AE5" w:rsidRDefault="006C4239" w:rsidP="006C4239">
            <w:pPr>
              <w:pStyle w:val="ListParagraph"/>
              <w:numPr>
                <w:ilvl w:val="2"/>
                <w:numId w:val="55"/>
              </w:numPr>
              <w:ind w:left="1985" w:hanging="567"/>
              <w:jc w:val="both"/>
            </w:pPr>
            <w:r w:rsidRPr="00D51AE5">
              <w:rPr>
                <w:rFonts w:eastAsia="Arial"/>
              </w:rPr>
              <w:t>The concerned REMB division shall check the completeness and consistency of the submission within three (3) days.</w:t>
            </w:r>
            <w:r w:rsidRPr="00D51AE5">
              <w:rPr>
                <w:rFonts w:eastAsia="Arial"/>
                <w:i/>
                <w:iCs/>
              </w:rPr>
              <w:t xml:space="preserve"> </w:t>
            </w:r>
          </w:p>
        </w:tc>
        <w:tc>
          <w:tcPr>
            <w:tcW w:w="3590" w:type="dxa"/>
          </w:tcPr>
          <w:p w14:paraId="50DC248C" w14:textId="77777777" w:rsidR="006C4239" w:rsidRPr="006A1E11" w:rsidRDefault="006C4239" w:rsidP="006A1E11">
            <w:pPr>
              <w:ind w:left="1980"/>
              <w:jc w:val="both"/>
              <w:rPr>
                <w:rFonts w:eastAsia="Arial"/>
              </w:rPr>
            </w:pPr>
          </w:p>
        </w:tc>
        <w:tc>
          <w:tcPr>
            <w:tcW w:w="4267" w:type="dxa"/>
          </w:tcPr>
          <w:p w14:paraId="6D3E6EAE" w14:textId="77777777" w:rsidR="006C4239" w:rsidRPr="006A1E11" w:rsidRDefault="006C4239" w:rsidP="006A1E11">
            <w:pPr>
              <w:ind w:left="1980"/>
              <w:jc w:val="both"/>
              <w:rPr>
                <w:rFonts w:eastAsia="Arial"/>
              </w:rPr>
            </w:pPr>
          </w:p>
        </w:tc>
      </w:tr>
      <w:tr w:rsidR="006C4239" w:rsidRPr="00D51AE5" w14:paraId="321731D4" w14:textId="02A7A874" w:rsidTr="007639A7">
        <w:tc>
          <w:tcPr>
            <w:tcW w:w="6044" w:type="dxa"/>
          </w:tcPr>
          <w:p w14:paraId="47AC2513" w14:textId="77777777" w:rsidR="006C4239" w:rsidRPr="00D51AE5" w:rsidRDefault="006C4239" w:rsidP="006C4239">
            <w:pPr>
              <w:pStyle w:val="ListParagraph"/>
              <w:numPr>
                <w:ilvl w:val="3"/>
                <w:numId w:val="55"/>
              </w:numPr>
              <w:ind w:left="2835" w:hanging="850"/>
              <w:jc w:val="both"/>
            </w:pPr>
            <w:r w:rsidRPr="00D51AE5">
              <w:rPr>
                <w:rFonts w:eastAsia="Arial"/>
              </w:rPr>
              <w:t>If the submission is complete, REMB shall upload a copy of the order of payment to pay for the application and processing fees.</w:t>
            </w:r>
            <w:r w:rsidRPr="00D51AE5">
              <w:t xml:space="preserve"> The </w:t>
            </w:r>
            <w:r w:rsidRPr="00D51AE5">
              <w:rPr>
                <w:rFonts w:eastAsia="Arial"/>
              </w:rPr>
              <w:t>EVOSS System shall notify the Hydropower Developer through a system generated email to pay the fees within five (5) days.</w:t>
            </w:r>
          </w:p>
        </w:tc>
        <w:tc>
          <w:tcPr>
            <w:tcW w:w="3590" w:type="dxa"/>
          </w:tcPr>
          <w:p w14:paraId="5F58EF3E" w14:textId="77777777" w:rsidR="006C4239" w:rsidRPr="006A1E11" w:rsidRDefault="006C4239" w:rsidP="006A1E11">
            <w:pPr>
              <w:ind w:left="2520"/>
              <w:jc w:val="both"/>
              <w:rPr>
                <w:rFonts w:eastAsia="Arial"/>
              </w:rPr>
            </w:pPr>
          </w:p>
        </w:tc>
        <w:tc>
          <w:tcPr>
            <w:tcW w:w="4267" w:type="dxa"/>
          </w:tcPr>
          <w:p w14:paraId="74F608C9" w14:textId="77777777" w:rsidR="006C4239" w:rsidRPr="006A1E11" w:rsidRDefault="006C4239" w:rsidP="006A1E11">
            <w:pPr>
              <w:ind w:left="2520"/>
              <w:jc w:val="both"/>
              <w:rPr>
                <w:rFonts w:eastAsia="Arial"/>
              </w:rPr>
            </w:pPr>
          </w:p>
        </w:tc>
      </w:tr>
      <w:tr w:rsidR="006C4239" w:rsidRPr="00D51AE5" w14:paraId="5978182F" w14:textId="1A471401" w:rsidTr="007639A7">
        <w:tc>
          <w:tcPr>
            <w:tcW w:w="6044" w:type="dxa"/>
          </w:tcPr>
          <w:p w14:paraId="2E32446F" w14:textId="77777777" w:rsidR="006C4239" w:rsidRPr="00D51AE5" w:rsidRDefault="006C4239" w:rsidP="006C4239">
            <w:pPr>
              <w:pStyle w:val="ListParagraph"/>
              <w:numPr>
                <w:ilvl w:val="2"/>
                <w:numId w:val="55"/>
              </w:numPr>
              <w:ind w:left="1985" w:hanging="567"/>
              <w:jc w:val="both"/>
            </w:pPr>
            <w:r w:rsidRPr="00D51AE5">
              <w:t xml:space="preserve">After payment of the processing fee, the concerned REMB Division shall evaluate the request within five (5) days. In case the evaluation of the concerned REMB Division  shows that: (a) there are additional costs to be incurred that should warrant another financial evaluation; (b) there are any legal concerns regarding the RE Project; and/or (c) there is a need of re-plotting the Contract Area, REMB, through the EVOSS System, shall endorse the request to FS, LS and/or ITMS which shall </w:t>
            </w:r>
            <w:r w:rsidRPr="00D51AE5">
              <w:rPr>
                <w:rFonts w:eastAsia="Arial"/>
              </w:rPr>
              <w:t xml:space="preserve">conduct simultaneous financial and legal evaluations, and/or area verification </w:t>
            </w:r>
            <w:r w:rsidRPr="00D51AE5">
              <w:t xml:space="preserve">within five (5) days. </w:t>
            </w:r>
          </w:p>
        </w:tc>
        <w:tc>
          <w:tcPr>
            <w:tcW w:w="3590" w:type="dxa"/>
          </w:tcPr>
          <w:p w14:paraId="576C572D" w14:textId="77777777" w:rsidR="006C4239" w:rsidRPr="006A1E11" w:rsidRDefault="006C4239" w:rsidP="006A1E11">
            <w:pPr>
              <w:ind w:left="1980"/>
              <w:jc w:val="both"/>
            </w:pPr>
          </w:p>
        </w:tc>
        <w:tc>
          <w:tcPr>
            <w:tcW w:w="4267" w:type="dxa"/>
          </w:tcPr>
          <w:p w14:paraId="33D73871" w14:textId="77777777" w:rsidR="006C4239" w:rsidRPr="006A1E11" w:rsidRDefault="006C4239" w:rsidP="006A1E11">
            <w:pPr>
              <w:ind w:left="1980"/>
              <w:jc w:val="both"/>
            </w:pPr>
          </w:p>
        </w:tc>
      </w:tr>
      <w:tr w:rsidR="006C4239" w:rsidRPr="00D51AE5" w14:paraId="3A1302D7" w14:textId="27B900C9" w:rsidTr="007639A7">
        <w:tc>
          <w:tcPr>
            <w:tcW w:w="6044" w:type="dxa"/>
          </w:tcPr>
          <w:p w14:paraId="6F44B650" w14:textId="77777777" w:rsidR="006C4239" w:rsidRPr="00D51AE5" w:rsidRDefault="006C4239" w:rsidP="006C4239">
            <w:pPr>
              <w:pStyle w:val="ListParagraph"/>
              <w:numPr>
                <w:ilvl w:val="2"/>
                <w:numId w:val="55"/>
              </w:numPr>
              <w:ind w:left="1985" w:hanging="567"/>
              <w:jc w:val="both"/>
            </w:pPr>
            <w:r w:rsidRPr="00D51AE5">
              <w:t>The concerned REMB Division shall</w:t>
            </w:r>
            <w:r w:rsidRPr="00D51AE5">
              <w:rPr>
                <w:rFonts w:eastAsia="Arial"/>
              </w:rPr>
              <w:t xml:space="preserve"> consolidate all </w:t>
            </w:r>
            <w:r w:rsidRPr="00D51AE5">
              <w:t>the evaluation</w:t>
            </w:r>
            <w:r w:rsidRPr="00D51AE5">
              <w:rPr>
                <w:rFonts w:eastAsia="Arial"/>
              </w:rPr>
              <w:t xml:space="preserve"> results and recommend</w:t>
            </w:r>
            <w:r w:rsidRPr="00D51AE5">
              <w:t xml:space="preserve"> the </w:t>
            </w:r>
            <w:r w:rsidRPr="00D51AE5">
              <w:rPr>
                <w:rFonts w:eastAsia="Arial"/>
              </w:rPr>
              <w:t>same to</w:t>
            </w:r>
            <w:r w:rsidRPr="00D51AE5">
              <w:t xml:space="preserve"> the REMB Director</w:t>
            </w:r>
            <w:r w:rsidRPr="00D51AE5">
              <w:rPr>
                <w:rFonts w:eastAsia="Arial"/>
              </w:rPr>
              <w:t xml:space="preserve"> for further action and</w:t>
            </w:r>
            <w:r w:rsidRPr="00D51AE5">
              <w:t xml:space="preserve"> if the RE Developer passes the evaluation,</w:t>
            </w:r>
            <w:r w:rsidRPr="00D51AE5">
              <w:rPr>
                <w:rFonts w:eastAsia="Arial"/>
              </w:rPr>
              <w:t xml:space="preserve"> endorse the Memorandum to the </w:t>
            </w:r>
            <w:r w:rsidRPr="00D51AE5">
              <w:t xml:space="preserve">Undersecretary </w:t>
            </w:r>
            <w:r w:rsidRPr="00D51AE5">
              <w:rPr>
                <w:rFonts w:eastAsia="Arial"/>
              </w:rPr>
              <w:t xml:space="preserve">and Approval Letter / Revised COR through LS </w:t>
            </w:r>
            <w:r w:rsidRPr="00D51AE5">
              <w:t>within two (2) days.</w:t>
            </w:r>
          </w:p>
        </w:tc>
        <w:tc>
          <w:tcPr>
            <w:tcW w:w="3590" w:type="dxa"/>
          </w:tcPr>
          <w:p w14:paraId="3112D2CD" w14:textId="77777777" w:rsidR="006C4239" w:rsidRPr="006A1E11" w:rsidRDefault="006C4239" w:rsidP="006A1E11">
            <w:pPr>
              <w:ind w:left="1980"/>
              <w:jc w:val="both"/>
            </w:pPr>
          </w:p>
        </w:tc>
        <w:tc>
          <w:tcPr>
            <w:tcW w:w="4267" w:type="dxa"/>
          </w:tcPr>
          <w:p w14:paraId="7F5FD437" w14:textId="77777777" w:rsidR="006C4239" w:rsidRPr="006A1E11" w:rsidRDefault="006C4239" w:rsidP="006A1E11">
            <w:pPr>
              <w:ind w:left="1980"/>
              <w:jc w:val="both"/>
            </w:pPr>
          </w:p>
        </w:tc>
      </w:tr>
      <w:tr w:rsidR="006C4239" w:rsidRPr="00D51AE5" w14:paraId="36DFFB20" w14:textId="6A56D900" w:rsidTr="007639A7">
        <w:tc>
          <w:tcPr>
            <w:tcW w:w="6044" w:type="dxa"/>
          </w:tcPr>
          <w:p w14:paraId="49FE2BB7" w14:textId="77777777" w:rsidR="006C4239" w:rsidRPr="00D51AE5" w:rsidRDefault="006C4239" w:rsidP="006C4239">
            <w:pPr>
              <w:pStyle w:val="ListParagraph"/>
              <w:numPr>
                <w:ilvl w:val="2"/>
                <w:numId w:val="55"/>
              </w:numPr>
              <w:ind w:left="1985" w:hanging="567"/>
              <w:jc w:val="both"/>
            </w:pPr>
            <w:r w:rsidRPr="00D51AE5">
              <w:t>The Supervising Assistant Secretary and Undersecretary shall act on the recommendation and endorse the same to the DOE Secretary for approval within four (4) days.</w:t>
            </w:r>
          </w:p>
        </w:tc>
        <w:tc>
          <w:tcPr>
            <w:tcW w:w="3590" w:type="dxa"/>
          </w:tcPr>
          <w:p w14:paraId="2C0EDB73" w14:textId="77777777" w:rsidR="006C4239" w:rsidRPr="006A1E11" w:rsidRDefault="006C4239" w:rsidP="006A1E11">
            <w:pPr>
              <w:ind w:left="1980"/>
              <w:jc w:val="both"/>
            </w:pPr>
          </w:p>
        </w:tc>
        <w:tc>
          <w:tcPr>
            <w:tcW w:w="4267" w:type="dxa"/>
          </w:tcPr>
          <w:p w14:paraId="20CFC3BF" w14:textId="77777777" w:rsidR="006C4239" w:rsidRPr="006A1E11" w:rsidRDefault="006C4239" w:rsidP="006A1E11">
            <w:pPr>
              <w:ind w:left="1980"/>
              <w:jc w:val="both"/>
            </w:pPr>
          </w:p>
        </w:tc>
      </w:tr>
      <w:tr w:rsidR="006C4239" w:rsidRPr="00D51AE5" w14:paraId="0E775506" w14:textId="4DF5CBE3" w:rsidTr="007639A7">
        <w:tc>
          <w:tcPr>
            <w:tcW w:w="6044" w:type="dxa"/>
          </w:tcPr>
          <w:p w14:paraId="6E09F134" w14:textId="77777777" w:rsidR="006C4239" w:rsidRPr="00D51AE5" w:rsidRDefault="006C4239" w:rsidP="006C4239">
            <w:pPr>
              <w:pStyle w:val="ListParagraph"/>
              <w:numPr>
                <w:ilvl w:val="2"/>
                <w:numId w:val="55"/>
              </w:numPr>
              <w:ind w:left="1985" w:hanging="567"/>
              <w:jc w:val="both"/>
            </w:pPr>
            <w:r w:rsidRPr="00D51AE5">
              <w:t xml:space="preserve">Requests to change the terms of the RE Contract other than those in Section 5.1 of this Chapter may be considered by the DOE if the RE Developer complies with the conditions set forth in Section 5.4 hereof, subject to negotiations between the DOE and the Hydropower Developer. </w:t>
            </w:r>
          </w:p>
        </w:tc>
        <w:tc>
          <w:tcPr>
            <w:tcW w:w="3590" w:type="dxa"/>
          </w:tcPr>
          <w:p w14:paraId="09BB63CC" w14:textId="77777777" w:rsidR="006C4239" w:rsidRPr="006A1E11" w:rsidRDefault="006C4239" w:rsidP="006A1E11">
            <w:pPr>
              <w:ind w:left="1980"/>
              <w:jc w:val="both"/>
            </w:pPr>
          </w:p>
        </w:tc>
        <w:tc>
          <w:tcPr>
            <w:tcW w:w="4267" w:type="dxa"/>
          </w:tcPr>
          <w:p w14:paraId="699B8FD1" w14:textId="77777777" w:rsidR="006C4239" w:rsidRPr="006A1E11" w:rsidRDefault="006C4239" w:rsidP="006A1E11">
            <w:pPr>
              <w:ind w:left="1980"/>
              <w:jc w:val="both"/>
            </w:pPr>
          </w:p>
        </w:tc>
      </w:tr>
      <w:tr w:rsidR="006C4239" w:rsidRPr="00D51AE5" w14:paraId="3A0B0492" w14:textId="5582DA68" w:rsidTr="007639A7">
        <w:tc>
          <w:tcPr>
            <w:tcW w:w="6044" w:type="dxa"/>
          </w:tcPr>
          <w:p w14:paraId="6C70AF89" w14:textId="77777777" w:rsidR="006C4239" w:rsidRPr="00D51AE5" w:rsidRDefault="006C4239" w:rsidP="006C4239">
            <w:pPr>
              <w:pStyle w:val="ListParagraph"/>
              <w:numPr>
                <w:ilvl w:val="1"/>
                <w:numId w:val="39"/>
              </w:numPr>
              <w:ind w:left="709"/>
              <w:jc w:val="both"/>
            </w:pPr>
            <w:r w:rsidRPr="00D51AE5">
              <w:rPr>
                <w:b/>
              </w:rPr>
              <w:t>Revision of the Work Program</w:t>
            </w:r>
            <w:r w:rsidRPr="00D51AE5">
              <w:t>. Subject to terms and conditions stipulated in the RE Contract, the RE Developer may request for revision of its Work Program with justification on such revision; Provided, that such revision shall not extend the Pre-Development Stage.</w:t>
            </w:r>
          </w:p>
        </w:tc>
        <w:tc>
          <w:tcPr>
            <w:tcW w:w="3590" w:type="dxa"/>
          </w:tcPr>
          <w:p w14:paraId="1678715B" w14:textId="77777777" w:rsidR="006C4239" w:rsidRPr="006A1E11" w:rsidRDefault="006C4239" w:rsidP="006A1E11">
            <w:pPr>
              <w:ind w:left="1080"/>
              <w:jc w:val="both"/>
              <w:rPr>
                <w:b/>
              </w:rPr>
            </w:pPr>
          </w:p>
        </w:tc>
        <w:tc>
          <w:tcPr>
            <w:tcW w:w="4267" w:type="dxa"/>
          </w:tcPr>
          <w:p w14:paraId="1801A8F7" w14:textId="77777777" w:rsidR="006C4239" w:rsidRPr="006A1E11" w:rsidRDefault="006C4239" w:rsidP="006A1E11">
            <w:pPr>
              <w:ind w:left="1080"/>
              <w:jc w:val="both"/>
              <w:rPr>
                <w:b/>
              </w:rPr>
            </w:pPr>
          </w:p>
        </w:tc>
      </w:tr>
      <w:tr w:rsidR="006C4239" w:rsidRPr="00D51AE5" w14:paraId="7103F7A7" w14:textId="58E52B35" w:rsidTr="007639A7">
        <w:tc>
          <w:tcPr>
            <w:tcW w:w="6044" w:type="dxa"/>
          </w:tcPr>
          <w:p w14:paraId="32909DD6" w14:textId="77777777" w:rsidR="006C4239" w:rsidRPr="00D51AE5" w:rsidRDefault="006C4239" w:rsidP="006C4239">
            <w:pPr>
              <w:pStyle w:val="ListParagraph"/>
              <w:numPr>
                <w:ilvl w:val="2"/>
                <w:numId w:val="39"/>
              </w:numPr>
              <w:ind w:left="1985" w:hanging="567"/>
              <w:jc w:val="both"/>
              <w:rPr>
                <w:rFonts w:eastAsia="Arial"/>
              </w:rPr>
            </w:pPr>
            <w:r w:rsidRPr="00D51AE5">
              <w:rPr>
                <w:b/>
                <w:bCs/>
              </w:rPr>
              <w:t>Evaluation of Requests for Revision</w:t>
            </w:r>
            <w:r w:rsidRPr="00D51AE5">
              <w:rPr>
                <w:b/>
              </w:rPr>
              <w:t xml:space="preserve"> of the </w:t>
            </w:r>
            <w:r w:rsidRPr="00D51AE5">
              <w:rPr>
                <w:b/>
                <w:bCs/>
              </w:rPr>
              <w:t>Work Program.</w:t>
            </w:r>
            <w:r w:rsidRPr="00D51AE5">
              <w:t xml:space="preserve"> The </w:t>
            </w:r>
            <w:r w:rsidRPr="00D51AE5">
              <w:rPr>
                <w:rFonts w:eastAsia="Arial"/>
              </w:rPr>
              <w:t>RE Developer shall submit through the EVOSS System the complete set of documentary requirements for the request for revision of the Work Program, which shall be processed as follows:</w:t>
            </w:r>
          </w:p>
        </w:tc>
        <w:tc>
          <w:tcPr>
            <w:tcW w:w="3590" w:type="dxa"/>
          </w:tcPr>
          <w:p w14:paraId="6E7F5EA6" w14:textId="77777777" w:rsidR="006C4239" w:rsidRPr="006A1E11" w:rsidRDefault="006C4239" w:rsidP="006A1E11">
            <w:pPr>
              <w:ind w:left="1980"/>
              <w:jc w:val="both"/>
              <w:rPr>
                <w:b/>
                <w:bCs/>
              </w:rPr>
            </w:pPr>
          </w:p>
        </w:tc>
        <w:tc>
          <w:tcPr>
            <w:tcW w:w="4267" w:type="dxa"/>
          </w:tcPr>
          <w:p w14:paraId="6AB7860A" w14:textId="77777777" w:rsidR="006C4239" w:rsidRPr="006A1E11" w:rsidRDefault="006C4239" w:rsidP="006A1E11">
            <w:pPr>
              <w:ind w:left="1980"/>
              <w:jc w:val="both"/>
              <w:rPr>
                <w:b/>
                <w:bCs/>
              </w:rPr>
            </w:pPr>
          </w:p>
        </w:tc>
      </w:tr>
      <w:tr w:rsidR="006C4239" w:rsidRPr="00D51AE5" w14:paraId="4F1FD75C" w14:textId="76903DB0" w:rsidTr="007639A7">
        <w:tc>
          <w:tcPr>
            <w:tcW w:w="6044" w:type="dxa"/>
          </w:tcPr>
          <w:p w14:paraId="3C6022B2" w14:textId="77777777" w:rsidR="006C4239" w:rsidRPr="00D51AE5" w:rsidRDefault="006C4239" w:rsidP="006C4239">
            <w:pPr>
              <w:pStyle w:val="ListParagraph"/>
              <w:numPr>
                <w:ilvl w:val="3"/>
                <w:numId w:val="39"/>
              </w:numPr>
              <w:ind w:left="2835" w:hanging="850"/>
              <w:jc w:val="both"/>
            </w:pPr>
            <w:r w:rsidRPr="00D51AE5">
              <w:rPr>
                <w:rFonts w:eastAsia="Arial"/>
              </w:rPr>
              <w:t>The concerned REMB division shall check the completeness and consistency of the submission within three (3) days.</w:t>
            </w:r>
            <w:r w:rsidRPr="00D51AE5">
              <w:t xml:space="preserve"> </w:t>
            </w:r>
          </w:p>
        </w:tc>
        <w:tc>
          <w:tcPr>
            <w:tcW w:w="3590" w:type="dxa"/>
          </w:tcPr>
          <w:p w14:paraId="75D29439" w14:textId="77777777" w:rsidR="006C4239" w:rsidRPr="006A1E11" w:rsidRDefault="006C4239" w:rsidP="006A1E11">
            <w:pPr>
              <w:ind w:left="2520"/>
              <w:jc w:val="both"/>
              <w:rPr>
                <w:rFonts w:eastAsia="Arial"/>
              </w:rPr>
            </w:pPr>
          </w:p>
        </w:tc>
        <w:tc>
          <w:tcPr>
            <w:tcW w:w="4267" w:type="dxa"/>
          </w:tcPr>
          <w:p w14:paraId="169B901C" w14:textId="77777777" w:rsidR="006C4239" w:rsidRPr="006A1E11" w:rsidRDefault="006C4239" w:rsidP="006A1E11">
            <w:pPr>
              <w:ind w:left="2520"/>
              <w:jc w:val="both"/>
              <w:rPr>
                <w:rFonts w:eastAsia="Arial"/>
              </w:rPr>
            </w:pPr>
          </w:p>
        </w:tc>
      </w:tr>
      <w:tr w:rsidR="006C4239" w:rsidRPr="00D51AE5" w14:paraId="764B987F" w14:textId="35C02C29" w:rsidTr="007639A7">
        <w:tc>
          <w:tcPr>
            <w:tcW w:w="6044" w:type="dxa"/>
          </w:tcPr>
          <w:p w14:paraId="1395D651" w14:textId="77777777" w:rsidR="006C4239" w:rsidRPr="00D51AE5" w:rsidRDefault="006C4239" w:rsidP="006C4239">
            <w:pPr>
              <w:pStyle w:val="ListParagraph"/>
              <w:numPr>
                <w:ilvl w:val="3"/>
                <w:numId w:val="39"/>
              </w:numPr>
              <w:ind w:left="2835" w:hanging="850"/>
              <w:jc w:val="both"/>
            </w:pPr>
            <w:r w:rsidRPr="00D51AE5">
              <w:t>If the submission is complete, REMB,</w:t>
            </w:r>
            <w:r w:rsidRPr="00D51AE5">
              <w:rPr>
                <w:rFonts w:eastAsia="Arial"/>
              </w:rPr>
              <w:t xml:space="preserve"> LS and FS shall conduct simultaneous technical, legal (if necessary), and financial (for Pre-Development Stage only) evaluations </w:t>
            </w:r>
            <w:r w:rsidRPr="00D51AE5">
              <w:t>within five (5) days.</w:t>
            </w:r>
          </w:p>
        </w:tc>
        <w:tc>
          <w:tcPr>
            <w:tcW w:w="3590" w:type="dxa"/>
          </w:tcPr>
          <w:p w14:paraId="38745D3D" w14:textId="77777777" w:rsidR="006C4239" w:rsidRPr="006A1E11" w:rsidRDefault="006C4239" w:rsidP="006A1E11">
            <w:pPr>
              <w:ind w:left="2520"/>
              <w:jc w:val="both"/>
            </w:pPr>
          </w:p>
        </w:tc>
        <w:tc>
          <w:tcPr>
            <w:tcW w:w="4267" w:type="dxa"/>
          </w:tcPr>
          <w:p w14:paraId="286AFE7B" w14:textId="77777777" w:rsidR="006C4239" w:rsidRPr="006A1E11" w:rsidRDefault="006C4239" w:rsidP="006A1E11">
            <w:pPr>
              <w:ind w:left="2520"/>
              <w:jc w:val="both"/>
            </w:pPr>
          </w:p>
        </w:tc>
      </w:tr>
      <w:tr w:rsidR="006C4239" w:rsidRPr="00D51AE5" w14:paraId="4CA7DC25" w14:textId="5202AB69" w:rsidTr="007639A7">
        <w:tc>
          <w:tcPr>
            <w:tcW w:w="6044" w:type="dxa"/>
          </w:tcPr>
          <w:p w14:paraId="4D262D62" w14:textId="77777777" w:rsidR="006C4239" w:rsidRPr="00D51AE5" w:rsidRDefault="006C4239" w:rsidP="006C4239">
            <w:pPr>
              <w:pStyle w:val="ListParagraph"/>
              <w:numPr>
                <w:ilvl w:val="3"/>
                <w:numId w:val="39"/>
              </w:numPr>
              <w:ind w:left="2835" w:hanging="850"/>
              <w:jc w:val="both"/>
            </w:pPr>
            <w:r w:rsidRPr="00D51AE5">
              <w:t xml:space="preserve">The concerned </w:t>
            </w:r>
            <w:r w:rsidRPr="00D51AE5">
              <w:rPr>
                <w:rFonts w:eastAsia="Arial"/>
              </w:rPr>
              <w:t>REMB Division shall consolidate all the evaluation results and recommend</w:t>
            </w:r>
            <w:r w:rsidRPr="00D51AE5">
              <w:t xml:space="preserve"> the same to the REMB Director</w:t>
            </w:r>
            <w:r w:rsidRPr="00D51AE5">
              <w:rPr>
                <w:rFonts w:eastAsia="Arial"/>
              </w:rPr>
              <w:t xml:space="preserve"> for further action</w:t>
            </w:r>
            <w:r w:rsidRPr="00D51AE5">
              <w:t xml:space="preserve"> and i</w:t>
            </w:r>
            <w:r w:rsidRPr="00D51AE5">
              <w:rPr>
                <w:rFonts w:eastAsia="Arial"/>
              </w:rPr>
              <w:t>f</w:t>
            </w:r>
            <w:r w:rsidRPr="00D51AE5">
              <w:t xml:space="preserve"> the </w:t>
            </w:r>
            <w:r w:rsidRPr="00D51AE5">
              <w:rPr>
                <w:rFonts w:eastAsia="Arial"/>
              </w:rPr>
              <w:t>RE Developer passes</w:t>
            </w:r>
            <w:r w:rsidRPr="00D51AE5">
              <w:t xml:space="preserve"> the evaluation</w:t>
            </w:r>
            <w:r w:rsidRPr="00D51AE5">
              <w:rPr>
                <w:rFonts w:eastAsia="Arial"/>
              </w:rPr>
              <w:t xml:space="preserve">, </w:t>
            </w:r>
            <w:r w:rsidRPr="00D51AE5">
              <w:t xml:space="preserve">endorse the </w:t>
            </w:r>
            <w:r w:rsidRPr="00D51AE5">
              <w:rPr>
                <w:rFonts w:eastAsia="Arial"/>
              </w:rPr>
              <w:t>Memorandum</w:t>
            </w:r>
            <w:r w:rsidRPr="00D51AE5">
              <w:t xml:space="preserve"> to the </w:t>
            </w:r>
            <w:r w:rsidRPr="00D51AE5">
              <w:rPr>
                <w:rFonts w:eastAsia="Arial"/>
              </w:rPr>
              <w:t xml:space="preserve">Undersecretary </w:t>
            </w:r>
            <w:r w:rsidRPr="00D51AE5">
              <w:t>and</w:t>
            </w:r>
            <w:r w:rsidRPr="00D51AE5">
              <w:rPr>
                <w:rFonts w:eastAsia="Arial"/>
              </w:rPr>
              <w:t xml:space="preserve"> Approval Letter, through </w:t>
            </w:r>
            <w:r w:rsidRPr="00D51AE5">
              <w:t>LS, within two (2) days</w:t>
            </w:r>
            <w:r w:rsidRPr="00D51AE5">
              <w:rPr>
                <w:rFonts w:eastAsia="Arial"/>
              </w:rPr>
              <w:t>.</w:t>
            </w:r>
            <w:r w:rsidRPr="00D51AE5">
              <w:t xml:space="preserve"> REMB, through the REMB Director, shall provide the Supervising Assistant Secretary with its recommendation on the request and the complete basis thereof.</w:t>
            </w:r>
          </w:p>
        </w:tc>
        <w:tc>
          <w:tcPr>
            <w:tcW w:w="3590" w:type="dxa"/>
          </w:tcPr>
          <w:p w14:paraId="2BB469FA" w14:textId="77777777" w:rsidR="006C4239" w:rsidRPr="006A1E11" w:rsidRDefault="006C4239" w:rsidP="006A1E11">
            <w:pPr>
              <w:ind w:left="2520"/>
              <w:jc w:val="both"/>
            </w:pPr>
          </w:p>
        </w:tc>
        <w:tc>
          <w:tcPr>
            <w:tcW w:w="4267" w:type="dxa"/>
          </w:tcPr>
          <w:p w14:paraId="4B76B6A2" w14:textId="77777777" w:rsidR="006C4239" w:rsidRPr="006A1E11" w:rsidRDefault="006C4239" w:rsidP="006A1E11">
            <w:pPr>
              <w:ind w:left="2520"/>
              <w:jc w:val="both"/>
            </w:pPr>
          </w:p>
        </w:tc>
      </w:tr>
      <w:tr w:rsidR="006C4239" w:rsidRPr="00D51AE5" w14:paraId="700705C7" w14:textId="512688FB" w:rsidTr="007639A7">
        <w:tc>
          <w:tcPr>
            <w:tcW w:w="6044" w:type="dxa"/>
          </w:tcPr>
          <w:p w14:paraId="5EB56596" w14:textId="77777777" w:rsidR="006C4239" w:rsidRPr="00D51AE5" w:rsidRDefault="006C4239" w:rsidP="006C4239">
            <w:pPr>
              <w:pStyle w:val="ListParagraph"/>
              <w:numPr>
                <w:ilvl w:val="3"/>
                <w:numId w:val="39"/>
              </w:numPr>
              <w:ind w:left="2835" w:hanging="850"/>
              <w:jc w:val="both"/>
            </w:pPr>
            <w:r w:rsidRPr="00D51AE5">
              <w:t>The Supervising Assistant Secretary shall act on the recommendation and endorse the same to the Undersecretary for approval within two (2) days.</w:t>
            </w:r>
          </w:p>
        </w:tc>
        <w:tc>
          <w:tcPr>
            <w:tcW w:w="3590" w:type="dxa"/>
          </w:tcPr>
          <w:p w14:paraId="760AB106" w14:textId="77777777" w:rsidR="006C4239" w:rsidRPr="006A1E11" w:rsidRDefault="006C4239" w:rsidP="006A1E11">
            <w:pPr>
              <w:ind w:left="2520"/>
              <w:jc w:val="both"/>
            </w:pPr>
          </w:p>
        </w:tc>
        <w:tc>
          <w:tcPr>
            <w:tcW w:w="4267" w:type="dxa"/>
          </w:tcPr>
          <w:p w14:paraId="4E61F68D" w14:textId="77777777" w:rsidR="006C4239" w:rsidRPr="006A1E11" w:rsidRDefault="006C4239" w:rsidP="006A1E11">
            <w:pPr>
              <w:ind w:left="2520"/>
              <w:jc w:val="both"/>
            </w:pPr>
          </w:p>
        </w:tc>
      </w:tr>
      <w:tr w:rsidR="006C4239" w:rsidRPr="00D51AE5" w14:paraId="3358F8F5" w14:textId="79DFA662" w:rsidTr="007639A7">
        <w:tc>
          <w:tcPr>
            <w:tcW w:w="6044" w:type="dxa"/>
          </w:tcPr>
          <w:p w14:paraId="58759EC6" w14:textId="77777777" w:rsidR="006C4239" w:rsidRPr="00D51AE5" w:rsidRDefault="006C4239" w:rsidP="006C4239">
            <w:pPr>
              <w:pStyle w:val="ListParagraph"/>
              <w:numPr>
                <w:ilvl w:val="3"/>
                <w:numId w:val="39"/>
              </w:numPr>
              <w:ind w:left="2835" w:hanging="850"/>
              <w:jc w:val="both"/>
            </w:pPr>
            <w:r w:rsidRPr="00D51AE5">
              <w:t xml:space="preserve">The concerned REMB Division, </w:t>
            </w:r>
            <w:r w:rsidRPr="00D51AE5">
              <w:rPr>
                <w:rFonts w:eastAsia="Arial"/>
              </w:rPr>
              <w:t xml:space="preserve">through the EVOSS </w:t>
            </w:r>
            <w:r w:rsidRPr="00D51AE5">
              <w:t>System</w:t>
            </w:r>
            <w:r w:rsidRPr="00D51AE5">
              <w:rPr>
                <w:rFonts w:eastAsia="Arial"/>
              </w:rPr>
              <w:t xml:space="preserve">, shall notify the Hydropower Developer of the approval and upload a copy of the letter approving the revised work program. </w:t>
            </w:r>
          </w:p>
        </w:tc>
        <w:tc>
          <w:tcPr>
            <w:tcW w:w="3590" w:type="dxa"/>
          </w:tcPr>
          <w:p w14:paraId="053E0BF8" w14:textId="77777777" w:rsidR="006C4239" w:rsidRPr="006A1E11" w:rsidRDefault="006C4239" w:rsidP="006A1E11">
            <w:pPr>
              <w:ind w:left="2520"/>
              <w:jc w:val="both"/>
            </w:pPr>
          </w:p>
        </w:tc>
        <w:tc>
          <w:tcPr>
            <w:tcW w:w="4267" w:type="dxa"/>
          </w:tcPr>
          <w:p w14:paraId="13FEF677" w14:textId="77777777" w:rsidR="006C4239" w:rsidRPr="006A1E11" w:rsidRDefault="006C4239" w:rsidP="006A1E11">
            <w:pPr>
              <w:ind w:left="2520"/>
              <w:jc w:val="both"/>
            </w:pPr>
          </w:p>
        </w:tc>
      </w:tr>
      <w:tr w:rsidR="006C4239" w:rsidRPr="00D51AE5" w14:paraId="5E19E84E" w14:textId="744AD6A4" w:rsidTr="007639A7">
        <w:tc>
          <w:tcPr>
            <w:tcW w:w="6044" w:type="dxa"/>
          </w:tcPr>
          <w:p w14:paraId="77539F79" w14:textId="77777777" w:rsidR="006C4239" w:rsidRPr="00D51AE5" w:rsidRDefault="006C4239" w:rsidP="006C4239">
            <w:pPr>
              <w:pStyle w:val="ListParagraph"/>
              <w:numPr>
                <w:ilvl w:val="3"/>
                <w:numId w:val="39"/>
              </w:numPr>
              <w:ind w:left="2835" w:hanging="850"/>
              <w:jc w:val="both"/>
            </w:pPr>
            <w:r w:rsidRPr="00D51AE5">
              <w:t>The concerned REMB Division shall immediately provide to the TSMD, ITMS, and DOE-Investment Promotion Office (IPO) the status of the RE Contract and/or COR for timely update of database.</w:t>
            </w:r>
          </w:p>
        </w:tc>
        <w:tc>
          <w:tcPr>
            <w:tcW w:w="3590" w:type="dxa"/>
          </w:tcPr>
          <w:p w14:paraId="30C47FAC" w14:textId="77777777" w:rsidR="006C4239" w:rsidRPr="006A1E11" w:rsidRDefault="006C4239" w:rsidP="006A1E11">
            <w:pPr>
              <w:ind w:left="2520"/>
              <w:jc w:val="both"/>
            </w:pPr>
          </w:p>
        </w:tc>
        <w:tc>
          <w:tcPr>
            <w:tcW w:w="4267" w:type="dxa"/>
          </w:tcPr>
          <w:p w14:paraId="761943FE" w14:textId="77777777" w:rsidR="006C4239" w:rsidRPr="006A1E11" w:rsidRDefault="006C4239" w:rsidP="006A1E11">
            <w:pPr>
              <w:ind w:left="2520"/>
              <w:jc w:val="both"/>
            </w:pPr>
          </w:p>
        </w:tc>
      </w:tr>
      <w:tr w:rsidR="006C4239" w:rsidRPr="00D51AE5" w14:paraId="09FB89E0" w14:textId="16775406" w:rsidTr="007639A7">
        <w:tc>
          <w:tcPr>
            <w:tcW w:w="6044" w:type="dxa"/>
          </w:tcPr>
          <w:p w14:paraId="2D4D4FCF" w14:textId="77777777" w:rsidR="006C4239" w:rsidRPr="00D51AE5" w:rsidRDefault="006C4239" w:rsidP="006C4239">
            <w:pPr>
              <w:pStyle w:val="ListParagraph"/>
              <w:numPr>
                <w:ilvl w:val="2"/>
                <w:numId w:val="39"/>
              </w:numPr>
              <w:ind w:left="1985" w:hanging="567"/>
              <w:jc w:val="both"/>
            </w:pPr>
            <w:r w:rsidRPr="00D51AE5">
              <w:t>The changes to the Work Program necessitated by Force Majeure that extends the Pre-Development Stage shall be treated as an amendment of the RE Contract and shall be approved in accordance with Section 5.</w:t>
            </w:r>
          </w:p>
        </w:tc>
        <w:tc>
          <w:tcPr>
            <w:tcW w:w="3590" w:type="dxa"/>
          </w:tcPr>
          <w:p w14:paraId="19E4FDBF" w14:textId="77777777" w:rsidR="006C4239" w:rsidRPr="006A1E11" w:rsidRDefault="006C4239" w:rsidP="006A1E11">
            <w:pPr>
              <w:ind w:left="1980"/>
              <w:jc w:val="both"/>
            </w:pPr>
          </w:p>
        </w:tc>
        <w:tc>
          <w:tcPr>
            <w:tcW w:w="4267" w:type="dxa"/>
          </w:tcPr>
          <w:p w14:paraId="7ADF35A1" w14:textId="77777777" w:rsidR="006C4239" w:rsidRPr="006A1E11" w:rsidRDefault="006C4239" w:rsidP="006A1E11">
            <w:pPr>
              <w:ind w:left="1980"/>
              <w:jc w:val="both"/>
            </w:pPr>
          </w:p>
        </w:tc>
      </w:tr>
      <w:tr w:rsidR="006C4239" w:rsidRPr="00D51AE5" w14:paraId="623CDBA4" w14:textId="570F8B48" w:rsidTr="007639A7">
        <w:tc>
          <w:tcPr>
            <w:tcW w:w="6044" w:type="dxa"/>
          </w:tcPr>
          <w:p w14:paraId="00EEBFB3" w14:textId="77777777" w:rsidR="006C4239" w:rsidRPr="00D51AE5" w:rsidRDefault="006C4239" w:rsidP="006C4239">
            <w:pPr>
              <w:contextualSpacing/>
              <w:jc w:val="both"/>
              <w:rPr>
                <w:rFonts w:ascii="Arial" w:hAnsi="Arial" w:cs="Arial"/>
              </w:rPr>
            </w:pPr>
            <w:r w:rsidRPr="00D51AE5">
              <w:rPr>
                <w:rFonts w:ascii="Arial" w:hAnsi="Arial" w:cs="Arial"/>
                <w:b/>
                <w:bCs/>
              </w:rPr>
              <w:t xml:space="preserve">Section 6. Assignment of RE Contracts. </w:t>
            </w:r>
          </w:p>
        </w:tc>
        <w:tc>
          <w:tcPr>
            <w:tcW w:w="3590" w:type="dxa"/>
          </w:tcPr>
          <w:p w14:paraId="0860B560" w14:textId="77777777" w:rsidR="006C4239" w:rsidRPr="006A1E11" w:rsidRDefault="006C4239" w:rsidP="006A1E11">
            <w:pPr>
              <w:ind w:left="360"/>
              <w:jc w:val="both"/>
              <w:rPr>
                <w:b/>
                <w:bCs/>
              </w:rPr>
            </w:pPr>
          </w:p>
        </w:tc>
        <w:tc>
          <w:tcPr>
            <w:tcW w:w="4267" w:type="dxa"/>
          </w:tcPr>
          <w:p w14:paraId="0A5F3AE7" w14:textId="77777777" w:rsidR="006C4239" w:rsidRPr="006A1E11" w:rsidRDefault="006C4239" w:rsidP="006A1E11">
            <w:pPr>
              <w:ind w:left="360"/>
              <w:jc w:val="both"/>
              <w:rPr>
                <w:b/>
                <w:bCs/>
              </w:rPr>
            </w:pPr>
          </w:p>
        </w:tc>
      </w:tr>
      <w:tr w:rsidR="006C4239" w:rsidRPr="00D51AE5" w14:paraId="7C7B7E05" w14:textId="6317660B" w:rsidTr="007639A7">
        <w:tc>
          <w:tcPr>
            <w:tcW w:w="6044" w:type="dxa"/>
          </w:tcPr>
          <w:p w14:paraId="78AF69D1" w14:textId="77777777" w:rsidR="006C4239" w:rsidRPr="00D51AE5" w:rsidRDefault="006C4239" w:rsidP="006C4239">
            <w:pPr>
              <w:pStyle w:val="ListParagraph"/>
              <w:numPr>
                <w:ilvl w:val="1"/>
                <w:numId w:val="56"/>
              </w:numPr>
              <w:jc w:val="both"/>
            </w:pPr>
            <w:r w:rsidRPr="00D51AE5">
              <w:t>All assignments of RE Contracts shall be subject to prior written approval of the DOE.</w:t>
            </w:r>
          </w:p>
        </w:tc>
        <w:tc>
          <w:tcPr>
            <w:tcW w:w="3590" w:type="dxa"/>
          </w:tcPr>
          <w:p w14:paraId="3D7AD62F" w14:textId="77777777" w:rsidR="006C4239" w:rsidRPr="006A1E11" w:rsidRDefault="006C4239" w:rsidP="006A1E11">
            <w:pPr>
              <w:ind w:left="1080"/>
              <w:jc w:val="both"/>
            </w:pPr>
          </w:p>
        </w:tc>
        <w:tc>
          <w:tcPr>
            <w:tcW w:w="4267" w:type="dxa"/>
          </w:tcPr>
          <w:p w14:paraId="13B28EBD" w14:textId="77777777" w:rsidR="006C4239" w:rsidRPr="006A1E11" w:rsidRDefault="006C4239" w:rsidP="006A1E11">
            <w:pPr>
              <w:ind w:left="1080"/>
              <w:jc w:val="both"/>
            </w:pPr>
          </w:p>
        </w:tc>
      </w:tr>
      <w:tr w:rsidR="006C4239" w:rsidRPr="00D51AE5" w14:paraId="4E0EF7AE" w14:textId="4716F50A" w:rsidTr="007639A7">
        <w:tc>
          <w:tcPr>
            <w:tcW w:w="6044" w:type="dxa"/>
          </w:tcPr>
          <w:p w14:paraId="139173AA" w14:textId="77777777" w:rsidR="006C4239" w:rsidRPr="00D51AE5" w:rsidRDefault="006C4239" w:rsidP="006C4239">
            <w:pPr>
              <w:pStyle w:val="ListParagraph"/>
              <w:numPr>
                <w:ilvl w:val="1"/>
                <w:numId w:val="56"/>
              </w:numPr>
              <w:jc w:val="both"/>
            </w:pPr>
            <w:r w:rsidRPr="00D51AE5">
              <w:t>The RE Developer may assign all of its rights and obligations under the HSC to its Affiliate or any third party, subject to Section 6.1 hereof, and in accordance with the following:</w:t>
            </w:r>
          </w:p>
        </w:tc>
        <w:tc>
          <w:tcPr>
            <w:tcW w:w="3590" w:type="dxa"/>
          </w:tcPr>
          <w:p w14:paraId="430C3D87" w14:textId="77777777" w:rsidR="006C4239" w:rsidRPr="006A1E11" w:rsidRDefault="006C4239" w:rsidP="006A1E11">
            <w:pPr>
              <w:ind w:left="1080"/>
              <w:jc w:val="both"/>
            </w:pPr>
          </w:p>
        </w:tc>
        <w:tc>
          <w:tcPr>
            <w:tcW w:w="4267" w:type="dxa"/>
          </w:tcPr>
          <w:p w14:paraId="56C34D95" w14:textId="77777777" w:rsidR="006C4239" w:rsidRPr="006A1E11" w:rsidRDefault="006C4239" w:rsidP="006A1E11">
            <w:pPr>
              <w:ind w:left="1080"/>
              <w:jc w:val="both"/>
            </w:pPr>
          </w:p>
        </w:tc>
      </w:tr>
      <w:tr w:rsidR="006C4239" w:rsidRPr="00D51AE5" w14:paraId="5F4DA2F4" w14:textId="2D21A517" w:rsidTr="007639A7">
        <w:tc>
          <w:tcPr>
            <w:tcW w:w="6044" w:type="dxa"/>
          </w:tcPr>
          <w:p w14:paraId="2F40AD85" w14:textId="77777777" w:rsidR="006C4239" w:rsidRPr="00D51AE5" w:rsidRDefault="006C4239" w:rsidP="006C4239">
            <w:pPr>
              <w:pStyle w:val="ListParagraph"/>
              <w:numPr>
                <w:ilvl w:val="2"/>
                <w:numId w:val="56"/>
              </w:numPr>
              <w:ind w:left="1985" w:hanging="567"/>
              <w:jc w:val="both"/>
            </w:pPr>
            <w:r w:rsidRPr="00D51AE5">
              <w:t>The RE Developer shall submit to the DOE copies of the written document which unequivocally shows the agreement of the parties thereat to the assignment of the RE Contract;</w:t>
            </w:r>
          </w:p>
        </w:tc>
        <w:tc>
          <w:tcPr>
            <w:tcW w:w="3590" w:type="dxa"/>
          </w:tcPr>
          <w:p w14:paraId="5BC379BB" w14:textId="77777777" w:rsidR="006C4239" w:rsidRPr="006A1E11" w:rsidRDefault="006C4239" w:rsidP="006A1E11">
            <w:pPr>
              <w:ind w:left="1980"/>
              <w:jc w:val="both"/>
            </w:pPr>
          </w:p>
        </w:tc>
        <w:tc>
          <w:tcPr>
            <w:tcW w:w="4267" w:type="dxa"/>
          </w:tcPr>
          <w:p w14:paraId="7EC72703" w14:textId="77777777" w:rsidR="006C4239" w:rsidRPr="006A1E11" w:rsidRDefault="006C4239" w:rsidP="006A1E11">
            <w:pPr>
              <w:ind w:left="1980"/>
              <w:jc w:val="both"/>
            </w:pPr>
          </w:p>
        </w:tc>
      </w:tr>
      <w:tr w:rsidR="006C4239" w:rsidRPr="00D51AE5" w14:paraId="55348AA8" w14:textId="6FDF814C" w:rsidTr="007639A7">
        <w:tc>
          <w:tcPr>
            <w:tcW w:w="6044" w:type="dxa"/>
          </w:tcPr>
          <w:p w14:paraId="40714A19" w14:textId="77777777" w:rsidR="006C4239" w:rsidRPr="00D51AE5" w:rsidRDefault="006C4239" w:rsidP="006C4239">
            <w:pPr>
              <w:pStyle w:val="ListParagraph"/>
              <w:numPr>
                <w:ilvl w:val="2"/>
                <w:numId w:val="56"/>
              </w:numPr>
              <w:ind w:left="1985" w:hanging="567"/>
              <w:jc w:val="both"/>
            </w:pPr>
            <w:r w:rsidRPr="00D51AE5">
              <w:t>The RE Developer shall guarantee in writing to the DOE the performance of the assigned rights and obligations; and</w:t>
            </w:r>
          </w:p>
        </w:tc>
        <w:tc>
          <w:tcPr>
            <w:tcW w:w="3590" w:type="dxa"/>
          </w:tcPr>
          <w:p w14:paraId="3AE7EA82" w14:textId="77777777" w:rsidR="006C4239" w:rsidRPr="006A1E11" w:rsidRDefault="006C4239" w:rsidP="006A1E11">
            <w:pPr>
              <w:ind w:left="1980"/>
              <w:jc w:val="both"/>
            </w:pPr>
          </w:p>
        </w:tc>
        <w:tc>
          <w:tcPr>
            <w:tcW w:w="4267" w:type="dxa"/>
          </w:tcPr>
          <w:p w14:paraId="6C703113" w14:textId="77777777" w:rsidR="006C4239" w:rsidRPr="006A1E11" w:rsidRDefault="006C4239" w:rsidP="006A1E11">
            <w:pPr>
              <w:ind w:left="1980"/>
              <w:jc w:val="both"/>
            </w:pPr>
          </w:p>
        </w:tc>
      </w:tr>
      <w:tr w:rsidR="006C4239" w:rsidRPr="00D51AE5" w14:paraId="42A02936" w14:textId="0C207ED9" w:rsidTr="007639A7">
        <w:tc>
          <w:tcPr>
            <w:tcW w:w="6044" w:type="dxa"/>
          </w:tcPr>
          <w:p w14:paraId="5BB8263F" w14:textId="77777777" w:rsidR="006C4239" w:rsidRPr="00D51AE5" w:rsidRDefault="006C4239" w:rsidP="006C4239">
            <w:pPr>
              <w:pStyle w:val="ListParagraph"/>
              <w:numPr>
                <w:ilvl w:val="2"/>
                <w:numId w:val="56"/>
              </w:numPr>
              <w:ind w:left="1985" w:hanging="567"/>
              <w:jc w:val="both"/>
            </w:pPr>
            <w:r w:rsidRPr="00D51AE5">
              <w:t>The assignee shall be substituted for the RE Developer in the performance bond posted in accordance with Section 1 of this Chapter.</w:t>
            </w:r>
          </w:p>
        </w:tc>
        <w:tc>
          <w:tcPr>
            <w:tcW w:w="3590" w:type="dxa"/>
          </w:tcPr>
          <w:p w14:paraId="3249D64E" w14:textId="77777777" w:rsidR="006C4239" w:rsidRPr="006A1E11" w:rsidRDefault="006C4239" w:rsidP="006A1E11">
            <w:pPr>
              <w:ind w:left="1980"/>
              <w:jc w:val="both"/>
            </w:pPr>
          </w:p>
        </w:tc>
        <w:tc>
          <w:tcPr>
            <w:tcW w:w="4267" w:type="dxa"/>
          </w:tcPr>
          <w:p w14:paraId="55AEF71D" w14:textId="77777777" w:rsidR="006C4239" w:rsidRPr="006A1E11" w:rsidRDefault="006C4239" w:rsidP="006A1E11">
            <w:pPr>
              <w:ind w:left="1980"/>
              <w:jc w:val="both"/>
            </w:pPr>
          </w:p>
        </w:tc>
      </w:tr>
      <w:tr w:rsidR="006C4239" w:rsidRPr="00D51AE5" w14:paraId="057469BB" w14:textId="0A649259" w:rsidTr="007639A7">
        <w:tc>
          <w:tcPr>
            <w:tcW w:w="6044" w:type="dxa"/>
          </w:tcPr>
          <w:p w14:paraId="2581F3D8" w14:textId="77777777" w:rsidR="006C4239" w:rsidRPr="00D51AE5" w:rsidRDefault="006C4239" w:rsidP="006C4239">
            <w:pPr>
              <w:pStyle w:val="ListParagraph"/>
              <w:numPr>
                <w:ilvl w:val="1"/>
                <w:numId w:val="56"/>
              </w:numPr>
              <w:jc w:val="both"/>
              <w:rPr>
                <w:rFonts w:eastAsia="Arial"/>
              </w:rPr>
            </w:pPr>
            <w:r w:rsidRPr="00D51AE5">
              <w:rPr>
                <w:b/>
                <w:bCs/>
              </w:rPr>
              <w:t>Evaluation of Requests for Assignment of RE Contract</w:t>
            </w:r>
            <w:r w:rsidRPr="00D51AE5">
              <w:t xml:space="preserve">. The </w:t>
            </w:r>
            <w:r w:rsidRPr="00D51AE5">
              <w:rPr>
                <w:rFonts w:eastAsia="Arial"/>
              </w:rPr>
              <w:t xml:space="preserve">RE Developer shall submit through the EVOSS </w:t>
            </w:r>
            <w:r w:rsidRPr="00D51AE5">
              <w:t>System</w:t>
            </w:r>
            <w:r w:rsidRPr="00D51AE5">
              <w:rPr>
                <w:rFonts w:eastAsia="Arial"/>
              </w:rPr>
              <w:t xml:space="preserve"> the complete set of documentary requirements for the request for assignment of the RE Contract, which shall be processed as follows:</w:t>
            </w:r>
          </w:p>
        </w:tc>
        <w:tc>
          <w:tcPr>
            <w:tcW w:w="3590" w:type="dxa"/>
          </w:tcPr>
          <w:p w14:paraId="6D26C240" w14:textId="77777777" w:rsidR="006C4239" w:rsidRPr="006A1E11" w:rsidRDefault="006C4239" w:rsidP="006A1E11">
            <w:pPr>
              <w:ind w:left="1080"/>
              <w:jc w:val="both"/>
              <w:rPr>
                <w:b/>
                <w:bCs/>
              </w:rPr>
            </w:pPr>
          </w:p>
        </w:tc>
        <w:tc>
          <w:tcPr>
            <w:tcW w:w="4267" w:type="dxa"/>
          </w:tcPr>
          <w:p w14:paraId="4F4F0F63" w14:textId="77777777" w:rsidR="006C4239" w:rsidRPr="006A1E11" w:rsidRDefault="006C4239" w:rsidP="006A1E11">
            <w:pPr>
              <w:ind w:left="1080"/>
              <w:jc w:val="both"/>
              <w:rPr>
                <w:b/>
                <w:bCs/>
              </w:rPr>
            </w:pPr>
          </w:p>
        </w:tc>
      </w:tr>
      <w:tr w:rsidR="006C4239" w:rsidRPr="00D51AE5" w14:paraId="7816BCEC" w14:textId="046FB3CC" w:rsidTr="007639A7">
        <w:tc>
          <w:tcPr>
            <w:tcW w:w="6044" w:type="dxa"/>
          </w:tcPr>
          <w:p w14:paraId="612C35BF" w14:textId="77777777" w:rsidR="006C4239" w:rsidRPr="00D51AE5" w:rsidRDefault="006C4239" w:rsidP="006C4239">
            <w:pPr>
              <w:pStyle w:val="ListParagraph"/>
              <w:numPr>
                <w:ilvl w:val="2"/>
                <w:numId w:val="56"/>
              </w:numPr>
              <w:ind w:left="1985" w:hanging="567"/>
              <w:jc w:val="both"/>
              <w:rPr>
                <w:rFonts w:eastAsia="Arial"/>
              </w:rPr>
            </w:pPr>
            <w:r w:rsidRPr="00D51AE5">
              <w:rPr>
                <w:rFonts w:eastAsia="Arial"/>
              </w:rPr>
              <w:t>The concerned REMB Division shall check the completeness and consistency of the submission within three (3) days</w:t>
            </w:r>
            <w:r w:rsidRPr="00D51AE5">
              <w:rPr>
                <w:rFonts w:eastAsia="Arial"/>
                <w:i/>
                <w:iCs/>
              </w:rPr>
              <w:t>.</w:t>
            </w:r>
          </w:p>
        </w:tc>
        <w:tc>
          <w:tcPr>
            <w:tcW w:w="3590" w:type="dxa"/>
          </w:tcPr>
          <w:p w14:paraId="046EAF96" w14:textId="77777777" w:rsidR="006C4239" w:rsidRPr="006A1E11" w:rsidRDefault="006C4239" w:rsidP="006A1E11">
            <w:pPr>
              <w:ind w:left="1980"/>
              <w:jc w:val="both"/>
              <w:rPr>
                <w:rFonts w:eastAsia="Arial"/>
              </w:rPr>
            </w:pPr>
          </w:p>
        </w:tc>
        <w:tc>
          <w:tcPr>
            <w:tcW w:w="4267" w:type="dxa"/>
          </w:tcPr>
          <w:p w14:paraId="4C51556D" w14:textId="77777777" w:rsidR="006C4239" w:rsidRPr="006A1E11" w:rsidRDefault="006C4239" w:rsidP="006A1E11">
            <w:pPr>
              <w:ind w:left="1980"/>
              <w:jc w:val="both"/>
              <w:rPr>
                <w:rFonts w:eastAsia="Arial"/>
              </w:rPr>
            </w:pPr>
          </w:p>
        </w:tc>
      </w:tr>
      <w:tr w:rsidR="006C4239" w:rsidRPr="00D51AE5" w14:paraId="6F3ACB43" w14:textId="1D7774A4" w:rsidTr="007639A7">
        <w:tc>
          <w:tcPr>
            <w:tcW w:w="6044" w:type="dxa"/>
          </w:tcPr>
          <w:p w14:paraId="1CAB35C7" w14:textId="77777777" w:rsidR="006C4239" w:rsidRPr="00D51AE5" w:rsidRDefault="006C4239" w:rsidP="006C4239">
            <w:pPr>
              <w:pStyle w:val="ListParagraph"/>
              <w:numPr>
                <w:ilvl w:val="2"/>
                <w:numId w:val="56"/>
              </w:numPr>
              <w:ind w:left="1985" w:hanging="567"/>
              <w:jc w:val="both"/>
              <w:rPr>
                <w:rFonts w:eastAsia="Arial"/>
              </w:rPr>
            </w:pPr>
            <w:r w:rsidRPr="00D51AE5">
              <w:rPr>
                <w:rFonts w:eastAsia="Arial"/>
              </w:rPr>
              <w:t>If the submission is complete, the concerned REMB shall upload a copy of the order of payment to pay for the application and processing fees. The EVOSS System shall notify the RE Developer through a system generated email to pay the fees within five (5) days.</w:t>
            </w:r>
          </w:p>
        </w:tc>
        <w:tc>
          <w:tcPr>
            <w:tcW w:w="3590" w:type="dxa"/>
          </w:tcPr>
          <w:p w14:paraId="509C2C12" w14:textId="77777777" w:rsidR="006C4239" w:rsidRPr="006A1E11" w:rsidRDefault="006C4239" w:rsidP="006A1E11">
            <w:pPr>
              <w:ind w:left="1980"/>
              <w:jc w:val="both"/>
              <w:rPr>
                <w:rFonts w:eastAsia="Arial"/>
              </w:rPr>
            </w:pPr>
          </w:p>
        </w:tc>
        <w:tc>
          <w:tcPr>
            <w:tcW w:w="4267" w:type="dxa"/>
          </w:tcPr>
          <w:p w14:paraId="0AC26AE8" w14:textId="77777777" w:rsidR="006C4239" w:rsidRPr="006A1E11" w:rsidRDefault="006C4239" w:rsidP="006A1E11">
            <w:pPr>
              <w:ind w:left="1980"/>
              <w:jc w:val="both"/>
              <w:rPr>
                <w:rFonts w:eastAsia="Arial"/>
              </w:rPr>
            </w:pPr>
          </w:p>
        </w:tc>
      </w:tr>
      <w:tr w:rsidR="006C4239" w:rsidRPr="00D51AE5" w14:paraId="32A92674" w14:textId="69CCEDB5" w:rsidTr="007639A7">
        <w:tc>
          <w:tcPr>
            <w:tcW w:w="6044" w:type="dxa"/>
          </w:tcPr>
          <w:p w14:paraId="43E4915B" w14:textId="77777777" w:rsidR="006C4239" w:rsidRPr="00D51AE5" w:rsidRDefault="006C4239" w:rsidP="006C4239">
            <w:pPr>
              <w:pStyle w:val="ListParagraph"/>
              <w:numPr>
                <w:ilvl w:val="2"/>
                <w:numId w:val="56"/>
              </w:numPr>
              <w:ind w:left="1985" w:hanging="567"/>
              <w:jc w:val="both"/>
              <w:rPr>
                <w:rFonts w:eastAsia="Arial"/>
              </w:rPr>
            </w:pPr>
            <w:r w:rsidRPr="00D51AE5">
              <w:rPr>
                <w:rFonts w:eastAsia="Arial"/>
              </w:rPr>
              <w:t>After payment of the processing fee, REMB, LS and FS shall conduct simultaneous technical, legal, and financial evaluations within seven (7) days.</w:t>
            </w:r>
          </w:p>
        </w:tc>
        <w:tc>
          <w:tcPr>
            <w:tcW w:w="3590" w:type="dxa"/>
          </w:tcPr>
          <w:p w14:paraId="1C312C5D" w14:textId="77777777" w:rsidR="006C4239" w:rsidRPr="006A1E11" w:rsidRDefault="006C4239" w:rsidP="006A1E11">
            <w:pPr>
              <w:ind w:left="1980"/>
              <w:jc w:val="both"/>
              <w:rPr>
                <w:rFonts w:eastAsia="Arial"/>
              </w:rPr>
            </w:pPr>
          </w:p>
        </w:tc>
        <w:tc>
          <w:tcPr>
            <w:tcW w:w="4267" w:type="dxa"/>
          </w:tcPr>
          <w:p w14:paraId="75C81CC8" w14:textId="77777777" w:rsidR="006C4239" w:rsidRPr="006A1E11" w:rsidRDefault="006C4239" w:rsidP="006A1E11">
            <w:pPr>
              <w:ind w:left="1980"/>
              <w:jc w:val="both"/>
              <w:rPr>
                <w:rFonts w:eastAsia="Arial"/>
              </w:rPr>
            </w:pPr>
          </w:p>
        </w:tc>
      </w:tr>
      <w:tr w:rsidR="006C4239" w:rsidRPr="00D51AE5" w14:paraId="1B245AA6" w14:textId="5CCF9FA2" w:rsidTr="007639A7">
        <w:tc>
          <w:tcPr>
            <w:tcW w:w="6044" w:type="dxa"/>
          </w:tcPr>
          <w:p w14:paraId="351253C4" w14:textId="77777777" w:rsidR="006C4239" w:rsidRPr="00D51AE5" w:rsidRDefault="006C4239" w:rsidP="006C4239">
            <w:pPr>
              <w:pStyle w:val="ListParagraph"/>
              <w:numPr>
                <w:ilvl w:val="2"/>
                <w:numId w:val="56"/>
              </w:numPr>
              <w:ind w:left="1985" w:hanging="567"/>
              <w:jc w:val="both"/>
              <w:rPr>
                <w:rFonts w:eastAsia="Arial"/>
              </w:rPr>
            </w:pPr>
            <w:r w:rsidRPr="00D51AE5">
              <w:t xml:space="preserve">The concerned REMB Division </w:t>
            </w:r>
            <w:r w:rsidRPr="00D51AE5">
              <w:rPr>
                <w:rFonts w:eastAsia="Times New Roman"/>
              </w:rPr>
              <w:t xml:space="preserve">shall </w:t>
            </w:r>
            <w:r w:rsidRPr="00D51AE5">
              <w:t>consolidate</w:t>
            </w:r>
            <w:r w:rsidRPr="00D51AE5">
              <w:rPr>
                <w:rFonts w:eastAsia="Times New Roman"/>
              </w:rPr>
              <w:t xml:space="preserve"> </w:t>
            </w:r>
            <w:r w:rsidRPr="00D51AE5">
              <w:t>all</w:t>
            </w:r>
            <w:r w:rsidRPr="00D51AE5">
              <w:rPr>
                <w:rFonts w:eastAsia="Times New Roman"/>
              </w:rPr>
              <w:t xml:space="preserve"> </w:t>
            </w:r>
            <w:r w:rsidRPr="00D51AE5">
              <w:t>the</w:t>
            </w:r>
            <w:r w:rsidRPr="00D51AE5">
              <w:rPr>
                <w:rFonts w:eastAsia="Times New Roman"/>
              </w:rPr>
              <w:t xml:space="preserve"> </w:t>
            </w:r>
            <w:r w:rsidRPr="00D51AE5">
              <w:t>evaluation</w:t>
            </w:r>
            <w:r w:rsidRPr="00D51AE5">
              <w:rPr>
                <w:rFonts w:eastAsia="Times New Roman"/>
              </w:rPr>
              <w:t xml:space="preserve"> </w:t>
            </w:r>
            <w:r w:rsidRPr="00D51AE5">
              <w:t>results</w:t>
            </w:r>
            <w:r w:rsidRPr="00D51AE5">
              <w:rPr>
                <w:rFonts w:eastAsia="Times New Roman"/>
              </w:rPr>
              <w:t xml:space="preserve"> and </w:t>
            </w:r>
            <w:r w:rsidRPr="00D51AE5">
              <w:t>endorse, through REMB Director, the recommendation for approval of LS within two (2) days.</w:t>
            </w:r>
          </w:p>
        </w:tc>
        <w:tc>
          <w:tcPr>
            <w:tcW w:w="3590" w:type="dxa"/>
          </w:tcPr>
          <w:p w14:paraId="18F459AE" w14:textId="77777777" w:rsidR="006C4239" w:rsidRPr="006A1E11" w:rsidRDefault="006C4239" w:rsidP="006A1E11">
            <w:pPr>
              <w:ind w:left="1980"/>
              <w:jc w:val="both"/>
            </w:pPr>
          </w:p>
        </w:tc>
        <w:tc>
          <w:tcPr>
            <w:tcW w:w="4267" w:type="dxa"/>
          </w:tcPr>
          <w:p w14:paraId="242BF992" w14:textId="77777777" w:rsidR="006C4239" w:rsidRPr="006A1E11" w:rsidRDefault="006C4239" w:rsidP="006A1E11">
            <w:pPr>
              <w:ind w:left="1980"/>
              <w:jc w:val="both"/>
            </w:pPr>
          </w:p>
        </w:tc>
      </w:tr>
      <w:tr w:rsidR="006C4239" w:rsidRPr="00D51AE5" w14:paraId="1D4E921D" w14:textId="2C2EB779" w:rsidTr="007639A7">
        <w:tc>
          <w:tcPr>
            <w:tcW w:w="6044" w:type="dxa"/>
          </w:tcPr>
          <w:p w14:paraId="08862538" w14:textId="77777777" w:rsidR="006C4239" w:rsidRPr="00D51AE5" w:rsidRDefault="006C4239" w:rsidP="006C4239">
            <w:pPr>
              <w:pStyle w:val="ListParagraph"/>
              <w:numPr>
                <w:ilvl w:val="2"/>
                <w:numId w:val="56"/>
              </w:numPr>
              <w:ind w:left="1985" w:hanging="567"/>
              <w:jc w:val="both"/>
              <w:rPr>
                <w:rFonts w:eastAsia="Arial"/>
              </w:rPr>
            </w:pPr>
            <w:r w:rsidRPr="00D51AE5">
              <w:t>The Supervising Assistant Secretary and Undersecretary shall act on the recommendation and endorse the same to the DOE Secretary for approval within four (4) days.</w:t>
            </w:r>
          </w:p>
        </w:tc>
        <w:tc>
          <w:tcPr>
            <w:tcW w:w="3590" w:type="dxa"/>
          </w:tcPr>
          <w:p w14:paraId="6997A3A8" w14:textId="77777777" w:rsidR="006C4239" w:rsidRPr="006A1E11" w:rsidRDefault="006C4239" w:rsidP="006A1E11">
            <w:pPr>
              <w:ind w:left="1980"/>
              <w:jc w:val="both"/>
            </w:pPr>
          </w:p>
        </w:tc>
        <w:tc>
          <w:tcPr>
            <w:tcW w:w="4267" w:type="dxa"/>
          </w:tcPr>
          <w:p w14:paraId="17416BB6" w14:textId="77777777" w:rsidR="006C4239" w:rsidRPr="006A1E11" w:rsidRDefault="006C4239" w:rsidP="006A1E11">
            <w:pPr>
              <w:ind w:left="1980"/>
              <w:jc w:val="both"/>
            </w:pPr>
          </w:p>
        </w:tc>
      </w:tr>
      <w:tr w:rsidR="006C4239" w:rsidRPr="00D51AE5" w14:paraId="0FA6D1E7" w14:textId="24A2939B" w:rsidTr="007639A7">
        <w:tc>
          <w:tcPr>
            <w:tcW w:w="6044" w:type="dxa"/>
          </w:tcPr>
          <w:p w14:paraId="79A6D0D7" w14:textId="77777777" w:rsidR="006C4239" w:rsidRPr="00D51AE5" w:rsidRDefault="006C4239" w:rsidP="006C4239">
            <w:pPr>
              <w:jc w:val="both"/>
              <w:rPr>
                <w:rFonts w:ascii="Arial" w:hAnsi="Arial" w:cs="Arial"/>
              </w:rPr>
            </w:pPr>
            <w:r w:rsidRPr="00D51AE5">
              <w:rPr>
                <w:rFonts w:ascii="Arial" w:hAnsi="Arial" w:cs="Arial"/>
                <w:b/>
                <w:bCs/>
              </w:rPr>
              <w:t xml:space="preserve">Section 7. Change in Control. </w:t>
            </w:r>
            <w:r w:rsidRPr="00D51AE5">
              <w:rPr>
                <w:rFonts w:ascii="Arial" w:hAnsi="Arial" w:cs="Arial"/>
              </w:rPr>
              <w:t>Any sale or acquisition of shares or other share capital that results in a change in control over the RE Developer shall be subject to the prior written approval of the DOE. Such approval shall be given if the RE Developer remains legally, technically and financially qualified and capable of discharging the obligations under the RE Contract. For this purpose, the RE Developer shall submit to the DOE copies of the instrument of conveyance and other documents showing that the sale or acquisition will not affect its legal, technical and financial qualification. The procedure for evaluation approval of the sale or acquisition shall be in accordance with Section 6.3 of this Chapter.</w:t>
            </w:r>
          </w:p>
        </w:tc>
        <w:tc>
          <w:tcPr>
            <w:tcW w:w="3590" w:type="dxa"/>
          </w:tcPr>
          <w:p w14:paraId="226A5EE7" w14:textId="77777777" w:rsidR="006C4239" w:rsidRPr="006A1E11" w:rsidRDefault="006C4239" w:rsidP="006A1E11">
            <w:pPr>
              <w:ind w:left="360"/>
              <w:jc w:val="both"/>
              <w:rPr>
                <w:b/>
                <w:bCs/>
              </w:rPr>
            </w:pPr>
          </w:p>
        </w:tc>
        <w:tc>
          <w:tcPr>
            <w:tcW w:w="4267" w:type="dxa"/>
          </w:tcPr>
          <w:p w14:paraId="0C0573CF" w14:textId="77777777" w:rsidR="006C4239" w:rsidRPr="006A1E11" w:rsidRDefault="006C4239" w:rsidP="006A1E11">
            <w:pPr>
              <w:ind w:left="360"/>
              <w:jc w:val="both"/>
              <w:rPr>
                <w:b/>
                <w:bCs/>
              </w:rPr>
            </w:pPr>
          </w:p>
        </w:tc>
      </w:tr>
      <w:tr w:rsidR="006C4239" w:rsidRPr="00D51AE5" w14:paraId="62D2F7C6" w14:textId="5F999F78" w:rsidTr="007639A7">
        <w:tc>
          <w:tcPr>
            <w:tcW w:w="6044" w:type="dxa"/>
          </w:tcPr>
          <w:p w14:paraId="0DCF3FE5" w14:textId="77777777" w:rsidR="006C4239" w:rsidRPr="00D51AE5" w:rsidRDefault="006C4239" w:rsidP="006C4239">
            <w:pPr>
              <w:jc w:val="both"/>
              <w:rPr>
                <w:rFonts w:ascii="Arial" w:hAnsi="Arial" w:cs="Arial"/>
              </w:rPr>
            </w:pPr>
            <w:r w:rsidRPr="00D51AE5">
              <w:rPr>
                <w:rFonts w:ascii="Arial" w:hAnsi="Arial" w:cs="Arial"/>
              </w:rPr>
              <w:t>Control is presumed to exist when, as a result of the sale or acquisition, the buyer/s or transferee/s shall own more than one half (1/2) of the voting power of the Hydropower Developer.</w:t>
            </w:r>
          </w:p>
        </w:tc>
        <w:tc>
          <w:tcPr>
            <w:tcW w:w="3590" w:type="dxa"/>
          </w:tcPr>
          <w:p w14:paraId="7BDA1290" w14:textId="77777777" w:rsidR="006C4239" w:rsidRPr="006A1E11" w:rsidRDefault="006C4239" w:rsidP="006A1E11">
            <w:pPr>
              <w:ind w:left="360"/>
              <w:jc w:val="both"/>
            </w:pPr>
          </w:p>
        </w:tc>
        <w:tc>
          <w:tcPr>
            <w:tcW w:w="4267" w:type="dxa"/>
          </w:tcPr>
          <w:p w14:paraId="2387B090" w14:textId="77777777" w:rsidR="006C4239" w:rsidRPr="006A1E11" w:rsidRDefault="006C4239" w:rsidP="006A1E11">
            <w:pPr>
              <w:ind w:left="360"/>
              <w:jc w:val="both"/>
            </w:pPr>
          </w:p>
        </w:tc>
      </w:tr>
      <w:tr w:rsidR="006C4239" w:rsidRPr="00D51AE5" w14:paraId="6F2D9FA0" w14:textId="7463CF0E" w:rsidTr="007639A7">
        <w:tc>
          <w:tcPr>
            <w:tcW w:w="6044" w:type="dxa"/>
          </w:tcPr>
          <w:p w14:paraId="527860FD" w14:textId="77777777" w:rsidR="006C4239" w:rsidRPr="00D51AE5" w:rsidRDefault="006C4239" w:rsidP="006C4239">
            <w:pPr>
              <w:jc w:val="both"/>
              <w:rPr>
                <w:rFonts w:ascii="Arial" w:eastAsia="Times New Roman" w:hAnsi="Arial" w:cs="Arial"/>
              </w:rPr>
            </w:pPr>
            <w:r w:rsidRPr="00D51AE5">
              <w:rPr>
                <w:rFonts w:ascii="Arial" w:hAnsi="Arial" w:cs="Arial"/>
                <w:b/>
                <w:bCs/>
              </w:rPr>
              <w:t>Section 8.</w:t>
            </w:r>
            <w:r w:rsidRPr="00D51AE5">
              <w:rPr>
                <w:rFonts w:ascii="Arial" w:hAnsi="Arial" w:cs="Arial"/>
              </w:rPr>
              <w:t xml:space="preserve"> </w:t>
            </w:r>
            <w:r w:rsidRPr="00D51AE5">
              <w:rPr>
                <w:rFonts w:ascii="Arial" w:hAnsi="Arial" w:cs="Arial"/>
                <w:b/>
                <w:bCs/>
              </w:rPr>
              <w:t>Abandonment.</w:t>
            </w:r>
            <w:r w:rsidRPr="00D51AE5">
              <w:rPr>
                <w:rFonts w:ascii="Arial" w:eastAsia="Times New Roman" w:hAnsi="Arial" w:cs="Arial"/>
              </w:rPr>
              <w:t xml:space="preserve"> The Abandonment and Termination Plan shall be</w:t>
            </w:r>
            <w:r w:rsidRPr="00D51AE5">
              <w:rPr>
                <w:rFonts w:ascii="Arial" w:eastAsia="Times New Roman" w:hAnsi="Arial" w:cs="Arial"/>
                <w:b/>
                <w:bCs/>
              </w:rPr>
              <w:t xml:space="preserve"> </w:t>
            </w:r>
            <w:r w:rsidRPr="00D51AE5">
              <w:rPr>
                <w:rFonts w:ascii="Arial" w:eastAsia="Times New Roman" w:hAnsi="Arial" w:cs="Arial"/>
              </w:rPr>
              <w:t>prepared by the RE Developer and submitted as a requirement for issuance of a COCOC and approved by the Department of Environment and Natural Resources (DENR) and the DOE for the decommissioning, abandonment and surface restoration or rehabilitation of the Contract Area.  Such abandonment work plan may be amended, supplemented or modified by the RE Developer, the DOE, and the DENR from time to time.</w:t>
            </w:r>
          </w:p>
        </w:tc>
        <w:tc>
          <w:tcPr>
            <w:tcW w:w="3590" w:type="dxa"/>
          </w:tcPr>
          <w:p w14:paraId="6A719D75" w14:textId="77777777" w:rsidR="006C4239" w:rsidRPr="006A1E11" w:rsidRDefault="006C4239" w:rsidP="006A1E11">
            <w:pPr>
              <w:ind w:left="360"/>
              <w:jc w:val="both"/>
              <w:rPr>
                <w:b/>
                <w:bCs/>
              </w:rPr>
            </w:pPr>
          </w:p>
        </w:tc>
        <w:tc>
          <w:tcPr>
            <w:tcW w:w="4267" w:type="dxa"/>
          </w:tcPr>
          <w:p w14:paraId="340B4F49" w14:textId="77777777" w:rsidR="006C4239" w:rsidRPr="006A1E11" w:rsidRDefault="006C4239" w:rsidP="006A1E11">
            <w:pPr>
              <w:ind w:left="360"/>
              <w:jc w:val="both"/>
              <w:rPr>
                <w:b/>
                <w:bCs/>
              </w:rPr>
            </w:pPr>
          </w:p>
        </w:tc>
      </w:tr>
      <w:tr w:rsidR="006C4239" w:rsidRPr="00D51AE5" w14:paraId="0DAE1EB7" w14:textId="79307B0B" w:rsidTr="007639A7">
        <w:tc>
          <w:tcPr>
            <w:tcW w:w="6044" w:type="dxa"/>
          </w:tcPr>
          <w:p w14:paraId="4451B589" w14:textId="77777777" w:rsidR="006C4239" w:rsidRPr="00D51AE5" w:rsidRDefault="006C4239" w:rsidP="006C4239">
            <w:pPr>
              <w:jc w:val="both"/>
              <w:rPr>
                <w:rFonts w:ascii="Arial" w:hAnsi="Arial" w:cs="Arial"/>
                <w:b/>
                <w:bCs/>
              </w:rPr>
            </w:pPr>
            <w:r w:rsidRPr="00D51AE5">
              <w:rPr>
                <w:rFonts w:ascii="Arial" w:hAnsi="Arial" w:cs="Arial"/>
                <w:b/>
                <w:bCs/>
              </w:rPr>
              <w:t>Section 9. Performance Review and Audit</w:t>
            </w:r>
          </w:p>
        </w:tc>
        <w:tc>
          <w:tcPr>
            <w:tcW w:w="3590" w:type="dxa"/>
          </w:tcPr>
          <w:p w14:paraId="50F29FBF" w14:textId="77777777" w:rsidR="006C4239" w:rsidRPr="006A1E11" w:rsidRDefault="006C4239" w:rsidP="006A1E11">
            <w:pPr>
              <w:ind w:left="360"/>
              <w:jc w:val="both"/>
              <w:rPr>
                <w:b/>
                <w:bCs/>
              </w:rPr>
            </w:pPr>
          </w:p>
        </w:tc>
        <w:tc>
          <w:tcPr>
            <w:tcW w:w="4267" w:type="dxa"/>
          </w:tcPr>
          <w:p w14:paraId="53ED5413" w14:textId="77777777" w:rsidR="006C4239" w:rsidRPr="006A1E11" w:rsidRDefault="006C4239" w:rsidP="006A1E11">
            <w:pPr>
              <w:ind w:left="360"/>
              <w:jc w:val="both"/>
              <w:rPr>
                <w:b/>
                <w:bCs/>
              </w:rPr>
            </w:pPr>
          </w:p>
        </w:tc>
      </w:tr>
      <w:tr w:rsidR="006C4239" w:rsidRPr="00D51AE5" w14:paraId="1B31630C" w14:textId="4FF00A8E" w:rsidTr="007639A7">
        <w:tc>
          <w:tcPr>
            <w:tcW w:w="6044" w:type="dxa"/>
          </w:tcPr>
          <w:p w14:paraId="6BDD1311" w14:textId="77777777" w:rsidR="006C4239" w:rsidRPr="00D51AE5" w:rsidRDefault="006C4239" w:rsidP="006C4239">
            <w:pPr>
              <w:pStyle w:val="ListParagraph"/>
              <w:numPr>
                <w:ilvl w:val="1"/>
                <w:numId w:val="57"/>
              </w:numPr>
              <w:jc w:val="both"/>
            </w:pPr>
            <w:r w:rsidRPr="00D51AE5">
              <w:t>The DOE shall conduct regular performance review of the RE Developers and recommend appropriate actions therefor.</w:t>
            </w:r>
          </w:p>
        </w:tc>
        <w:tc>
          <w:tcPr>
            <w:tcW w:w="3590" w:type="dxa"/>
          </w:tcPr>
          <w:p w14:paraId="2D7A6B18" w14:textId="77777777" w:rsidR="006C4239" w:rsidRPr="006A1E11" w:rsidRDefault="006C4239" w:rsidP="006A1E11">
            <w:pPr>
              <w:ind w:left="1080"/>
              <w:jc w:val="both"/>
            </w:pPr>
          </w:p>
        </w:tc>
        <w:tc>
          <w:tcPr>
            <w:tcW w:w="4267" w:type="dxa"/>
          </w:tcPr>
          <w:p w14:paraId="46D1C3CD" w14:textId="77777777" w:rsidR="006C4239" w:rsidRPr="006A1E11" w:rsidRDefault="006C4239" w:rsidP="006A1E11">
            <w:pPr>
              <w:ind w:left="1080"/>
              <w:jc w:val="both"/>
            </w:pPr>
          </w:p>
        </w:tc>
      </w:tr>
      <w:tr w:rsidR="006C4239" w:rsidRPr="00D51AE5" w14:paraId="4C1471A7" w14:textId="1483E7B4" w:rsidTr="007639A7">
        <w:tc>
          <w:tcPr>
            <w:tcW w:w="6044" w:type="dxa"/>
          </w:tcPr>
          <w:p w14:paraId="4485622F" w14:textId="77777777" w:rsidR="006C4239" w:rsidRPr="00D51AE5" w:rsidRDefault="006C4239" w:rsidP="006C4239">
            <w:pPr>
              <w:pStyle w:val="ListParagraph"/>
              <w:numPr>
                <w:ilvl w:val="1"/>
                <w:numId w:val="57"/>
              </w:numPr>
              <w:jc w:val="both"/>
            </w:pPr>
            <w:r w:rsidRPr="00D51AE5">
              <w:t>The DOE shall have the right to inspect the RE Developers books and accounts directly relating to the RE Contract for any calendar or fiscal year sixty (60) months following the end of each calendar or fiscal year. Any such audit shall be completed within one (1) year from its commencement. Any exceptions must be made to the RE Developer in writing within ninety (90) days following the completion of such audit. If the DOE fails to give such written exception within such time, then the RE Developer's books of accounts and statements for such calendar or fiscal year shall be established as correct and final for all purpose.</w:t>
            </w:r>
          </w:p>
        </w:tc>
        <w:tc>
          <w:tcPr>
            <w:tcW w:w="3590" w:type="dxa"/>
          </w:tcPr>
          <w:p w14:paraId="31839C4F" w14:textId="77777777" w:rsidR="006C4239" w:rsidRPr="006A1E11" w:rsidRDefault="006C4239" w:rsidP="006A1E11">
            <w:pPr>
              <w:ind w:left="1080"/>
              <w:jc w:val="both"/>
            </w:pPr>
          </w:p>
        </w:tc>
        <w:tc>
          <w:tcPr>
            <w:tcW w:w="4267" w:type="dxa"/>
          </w:tcPr>
          <w:p w14:paraId="235CA6C7" w14:textId="77777777" w:rsidR="006C4239" w:rsidRPr="006A1E11" w:rsidRDefault="006C4239" w:rsidP="006A1E11">
            <w:pPr>
              <w:ind w:left="1080"/>
              <w:jc w:val="both"/>
            </w:pPr>
          </w:p>
        </w:tc>
      </w:tr>
      <w:tr w:rsidR="006C4239" w:rsidRPr="00D51AE5" w14:paraId="292B296D" w14:textId="2D0808B0" w:rsidTr="007639A7">
        <w:tc>
          <w:tcPr>
            <w:tcW w:w="6044" w:type="dxa"/>
          </w:tcPr>
          <w:p w14:paraId="20D51248" w14:textId="77777777" w:rsidR="006C4239" w:rsidRPr="00D51AE5" w:rsidRDefault="006C4239" w:rsidP="006C4239">
            <w:pPr>
              <w:pStyle w:val="ListParagraph"/>
              <w:numPr>
                <w:ilvl w:val="1"/>
                <w:numId w:val="57"/>
              </w:numPr>
              <w:jc w:val="both"/>
            </w:pPr>
            <w:r w:rsidRPr="00D51AE5">
              <w:t>The DOE, upon at least fifteen (15) days advance written notice to the RE Developer, is entitled to access, during reasonable hours without affecting RE operations, all books of accounts and records and may inspect such sites and facilities as necessary.</w:t>
            </w:r>
          </w:p>
        </w:tc>
        <w:tc>
          <w:tcPr>
            <w:tcW w:w="3590" w:type="dxa"/>
          </w:tcPr>
          <w:p w14:paraId="6E7D32B8" w14:textId="77777777" w:rsidR="006C4239" w:rsidRPr="006A1E11" w:rsidRDefault="006C4239" w:rsidP="006A1E11">
            <w:pPr>
              <w:ind w:left="1080"/>
              <w:jc w:val="both"/>
            </w:pPr>
          </w:p>
        </w:tc>
        <w:tc>
          <w:tcPr>
            <w:tcW w:w="4267" w:type="dxa"/>
          </w:tcPr>
          <w:p w14:paraId="2842151E" w14:textId="77777777" w:rsidR="006C4239" w:rsidRPr="006A1E11" w:rsidRDefault="006C4239" w:rsidP="006A1E11">
            <w:pPr>
              <w:ind w:left="1080"/>
              <w:jc w:val="both"/>
            </w:pPr>
          </w:p>
        </w:tc>
      </w:tr>
      <w:tr w:rsidR="006C4239" w:rsidRPr="00D51AE5" w14:paraId="2F232360" w14:textId="44F31399" w:rsidTr="007639A7">
        <w:tc>
          <w:tcPr>
            <w:tcW w:w="6044" w:type="dxa"/>
          </w:tcPr>
          <w:p w14:paraId="73F23D36" w14:textId="77777777" w:rsidR="006C4239" w:rsidRPr="00D51AE5" w:rsidRDefault="006C4239" w:rsidP="006C4239">
            <w:pPr>
              <w:pStyle w:val="ListParagraph"/>
              <w:numPr>
                <w:ilvl w:val="1"/>
                <w:numId w:val="57"/>
              </w:numPr>
              <w:jc w:val="both"/>
            </w:pPr>
            <w:r w:rsidRPr="00D51AE5">
              <w:t>If the DOE notifies the RE Developer of an exception to the RE Developer's books of accounts within the period specified in Section 9.2 of this Chapter, the RE Developer shall within ninety (90) days from receipt of written exception from the DOE, question its validity, otherwise, the same shall become final and binding on the RE Developer. If the DOE and the RE Developer are not able to agree on the exceptions or adjustments after ninety (90) days from the date of receipt of the RE Developer's response to the DOE's exception report, they shall resolve the dispute in accordance with the RE Contract.</w:t>
            </w:r>
          </w:p>
        </w:tc>
        <w:tc>
          <w:tcPr>
            <w:tcW w:w="3590" w:type="dxa"/>
          </w:tcPr>
          <w:p w14:paraId="699E300E" w14:textId="77777777" w:rsidR="006C4239" w:rsidRPr="006A1E11" w:rsidRDefault="006C4239" w:rsidP="006A1E11">
            <w:pPr>
              <w:ind w:left="1080"/>
              <w:jc w:val="both"/>
            </w:pPr>
          </w:p>
        </w:tc>
        <w:tc>
          <w:tcPr>
            <w:tcW w:w="4267" w:type="dxa"/>
          </w:tcPr>
          <w:p w14:paraId="3C43A0A3" w14:textId="77777777" w:rsidR="006C4239" w:rsidRPr="006A1E11" w:rsidRDefault="006C4239" w:rsidP="006A1E11">
            <w:pPr>
              <w:ind w:left="1080"/>
              <w:jc w:val="both"/>
            </w:pPr>
          </w:p>
        </w:tc>
      </w:tr>
      <w:tr w:rsidR="006C4239" w:rsidRPr="00D51AE5" w14:paraId="58247846" w14:textId="3D124628" w:rsidTr="007639A7">
        <w:tc>
          <w:tcPr>
            <w:tcW w:w="6044" w:type="dxa"/>
          </w:tcPr>
          <w:p w14:paraId="5DFD43F2" w14:textId="77777777" w:rsidR="006C4239" w:rsidRPr="00D51AE5" w:rsidRDefault="006C4239" w:rsidP="006C4239">
            <w:pPr>
              <w:jc w:val="both"/>
              <w:rPr>
                <w:rFonts w:ascii="Arial" w:hAnsi="Arial" w:cs="Arial"/>
              </w:rPr>
            </w:pPr>
            <w:r w:rsidRPr="00D51AE5">
              <w:rPr>
                <w:rFonts w:ascii="Arial" w:hAnsi="Arial" w:cs="Arial"/>
                <w:b/>
                <w:bCs/>
              </w:rPr>
              <w:t>Section 10.</w:t>
            </w:r>
            <w:r w:rsidRPr="00D51AE5">
              <w:rPr>
                <w:rFonts w:ascii="Arial" w:hAnsi="Arial" w:cs="Arial"/>
              </w:rPr>
              <w:t xml:space="preserve"> </w:t>
            </w:r>
            <w:r w:rsidRPr="00D51AE5">
              <w:rPr>
                <w:rFonts w:ascii="Arial" w:hAnsi="Arial" w:cs="Arial"/>
                <w:b/>
              </w:rPr>
              <w:t xml:space="preserve">Suspension of Obligations under the </w:t>
            </w:r>
            <w:r w:rsidRPr="00D51AE5">
              <w:rPr>
                <w:rFonts w:ascii="Arial" w:hAnsi="Arial" w:cs="Arial"/>
                <w:b/>
                <w:bCs/>
              </w:rPr>
              <w:t>RE Service/Operating</w:t>
            </w:r>
            <w:r w:rsidRPr="00D51AE5">
              <w:rPr>
                <w:rFonts w:ascii="Arial" w:hAnsi="Arial" w:cs="Arial"/>
                <w:b/>
              </w:rPr>
              <w:t xml:space="preserve"> Contract.</w:t>
            </w:r>
            <w:r w:rsidRPr="00D51AE5">
              <w:rPr>
                <w:rFonts w:ascii="Arial" w:hAnsi="Arial" w:cs="Arial"/>
                <w:b/>
                <w:bCs/>
              </w:rPr>
              <w:t xml:space="preserve"> </w:t>
            </w:r>
            <w:r w:rsidRPr="00D51AE5">
              <w:rPr>
                <w:rFonts w:ascii="Arial" w:hAnsi="Arial" w:cs="Arial"/>
              </w:rPr>
              <w:t>In case the default of the RE Developer is attributable to Force Majeure, the obligation of the RE Developer may be suspended for a period of six (6) months or until the Force Majeure event ceases to exist, whichever comes earlier, subject to the following conditions:</w:t>
            </w:r>
          </w:p>
        </w:tc>
        <w:tc>
          <w:tcPr>
            <w:tcW w:w="3590" w:type="dxa"/>
          </w:tcPr>
          <w:p w14:paraId="7EA8A67D" w14:textId="77777777" w:rsidR="006C4239" w:rsidRPr="006A1E11" w:rsidRDefault="006C4239" w:rsidP="006A1E11">
            <w:pPr>
              <w:ind w:left="360"/>
              <w:jc w:val="both"/>
              <w:rPr>
                <w:b/>
                <w:bCs/>
              </w:rPr>
            </w:pPr>
          </w:p>
        </w:tc>
        <w:tc>
          <w:tcPr>
            <w:tcW w:w="4267" w:type="dxa"/>
          </w:tcPr>
          <w:p w14:paraId="011A3F55" w14:textId="77777777" w:rsidR="006C4239" w:rsidRPr="006A1E11" w:rsidRDefault="006C4239" w:rsidP="006A1E11">
            <w:pPr>
              <w:ind w:left="360"/>
              <w:jc w:val="both"/>
              <w:rPr>
                <w:b/>
                <w:bCs/>
              </w:rPr>
            </w:pPr>
          </w:p>
        </w:tc>
      </w:tr>
      <w:tr w:rsidR="006C4239" w:rsidRPr="00D51AE5" w14:paraId="14932646" w14:textId="20F26BDD" w:rsidTr="007639A7">
        <w:tc>
          <w:tcPr>
            <w:tcW w:w="6044" w:type="dxa"/>
          </w:tcPr>
          <w:p w14:paraId="0A26FBB6" w14:textId="77777777" w:rsidR="006C4239" w:rsidRPr="00D51AE5" w:rsidRDefault="006C4239" w:rsidP="006C4239">
            <w:pPr>
              <w:pStyle w:val="ListParagraph"/>
              <w:numPr>
                <w:ilvl w:val="1"/>
                <w:numId w:val="58"/>
              </w:numPr>
              <w:ind w:left="709" w:hanging="567"/>
              <w:jc w:val="both"/>
            </w:pPr>
            <w:r w:rsidRPr="00D51AE5">
              <w:t>The RE Developer shall file a notice of Force Majeure to the concerned REMB Division within fifteen (15) days from its existence along with proof that:</w:t>
            </w:r>
          </w:p>
        </w:tc>
        <w:tc>
          <w:tcPr>
            <w:tcW w:w="3590" w:type="dxa"/>
          </w:tcPr>
          <w:p w14:paraId="1B76708A" w14:textId="77777777" w:rsidR="006C4239" w:rsidRPr="006A1E11" w:rsidRDefault="006C4239" w:rsidP="006A1E11">
            <w:pPr>
              <w:ind w:left="1080"/>
              <w:jc w:val="both"/>
            </w:pPr>
          </w:p>
        </w:tc>
        <w:tc>
          <w:tcPr>
            <w:tcW w:w="4267" w:type="dxa"/>
          </w:tcPr>
          <w:p w14:paraId="0F20B2DD" w14:textId="77777777" w:rsidR="006C4239" w:rsidRPr="006A1E11" w:rsidRDefault="006C4239" w:rsidP="006A1E11">
            <w:pPr>
              <w:ind w:left="1080"/>
              <w:jc w:val="both"/>
            </w:pPr>
          </w:p>
        </w:tc>
      </w:tr>
      <w:tr w:rsidR="006C4239" w:rsidRPr="00D51AE5" w14:paraId="0938D19C" w14:textId="5CFACD29" w:rsidTr="007639A7">
        <w:tc>
          <w:tcPr>
            <w:tcW w:w="6044" w:type="dxa"/>
          </w:tcPr>
          <w:p w14:paraId="6C3004E6" w14:textId="77777777" w:rsidR="006C4239" w:rsidRPr="00D51AE5" w:rsidRDefault="006C4239" w:rsidP="006C4239">
            <w:pPr>
              <w:pStyle w:val="ListParagraph"/>
              <w:numPr>
                <w:ilvl w:val="2"/>
                <w:numId w:val="58"/>
              </w:numPr>
              <w:ind w:left="1985" w:hanging="567"/>
              <w:jc w:val="both"/>
            </w:pPr>
            <w:r w:rsidRPr="00D51AE5">
              <w:t>The Force Majeure exists;</w:t>
            </w:r>
            <w:bookmarkStart w:id="0" w:name="_Hlk143763197"/>
          </w:p>
        </w:tc>
        <w:tc>
          <w:tcPr>
            <w:tcW w:w="3590" w:type="dxa"/>
          </w:tcPr>
          <w:p w14:paraId="1003AEE0" w14:textId="77777777" w:rsidR="006C4239" w:rsidRPr="006A1E11" w:rsidRDefault="006C4239" w:rsidP="006A1E11">
            <w:pPr>
              <w:ind w:left="1980"/>
              <w:jc w:val="both"/>
            </w:pPr>
          </w:p>
        </w:tc>
        <w:tc>
          <w:tcPr>
            <w:tcW w:w="4267" w:type="dxa"/>
          </w:tcPr>
          <w:p w14:paraId="1C9D811A" w14:textId="77777777" w:rsidR="006C4239" w:rsidRPr="006A1E11" w:rsidRDefault="006C4239" w:rsidP="006A1E11">
            <w:pPr>
              <w:ind w:left="1980"/>
              <w:jc w:val="both"/>
            </w:pPr>
          </w:p>
        </w:tc>
      </w:tr>
      <w:tr w:rsidR="006C4239" w:rsidRPr="00D51AE5" w14:paraId="153ADAC9" w14:textId="6B75735D" w:rsidTr="007639A7">
        <w:tc>
          <w:tcPr>
            <w:tcW w:w="6044" w:type="dxa"/>
          </w:tcPr>
          <w:p w14:paraId="42E2E368" w14:textId="77777777" w:rsidR="006C4239" w:rsidRPr="00D51AE5" w:rsidRDefault="006C4239" w:rsidP="006C4239">
            <w:pPr>
              <w:pStyle w:val="ListParagraph"/>
              <w:numPr>
                <w:ilvl w:val="2"/>
                <w:numId w:val="58"/>
              </w:numPr>
              <w:ind w:left="1985" w:hanging="567"/>
              <w:jc w:val="both"/>
            </w:pPr>
            <w:r w:rsidRPr="00D51AE5">
              <w:t>The event/s occurred independent of the will of the RE Developer;</w:t>
            </w:r>
            <w:bookmarkStart w:id="1" w:name="_Hlk143763214"/>
            <w:bookmarkEnd w:id="0"/>
          </w:p>
        </w:tc>
        <w:tc>
          <w:tcPr>
            <w:tcW w:w="3590" w:type="dxa"/>
          </w:tcPr>
          <w:p w14:paraId="2C32E608" w14:textId="77777777" w:rsidR="006C4239" w:rsidRPr="006A1E11" w:rsidRDefault="006C4239" w:rsidP="006A1E11">
            <w:pPr>
              <w:ind w:left="1980"/>
              <w:jc w:val="both"/>
            </w:pPr>
          </w:p>
        </w:tc>
        <w:tc>
          <w:tcPr>
            <w:tcW w:w="4267" w:type="dxa"/>
          </w:tcPr>
          <w:p w14:paraId="13D7A622" w14:textId="77777777" w:rsidR="006C4239" w:rsidRPr="006A1E11" w:rsidRDefault="006C4239" w:rsidP="006A1E11">
            <w:pPr>
              <w:ind w:left="1980"/>
              <w:jc w:val="both"/>
            </w:pPr>
          </w:p>
        </w:tc>
      </w:tr>
      <w:tr w:rsidR="006C4239" w:rsidRPr="00D51AE5" w14:paraId="1C4FA335" w14:textId="0CFCC7C6" w:rsidTr="007639A7">
        <w:tc>
          <w:tcPr>
            <w:tcW w:w="6044" w:type="dxa"/>
          </w:tcPr>
          <w:p w14:paraId="447374AB" w14:textId="77777777" w:rsidR="006C4239" w:rsidRPr="00D51AE5" w:rsidRDefault="006C4239" w:rsidP="006C4239">
            <w:pPr>
              <w:pStyle w:val="ListParagraph"/>
              <w:numPr>
                <w:ilvl w:val="2"/>
                <w:numId w:val="58"/>
              </w:numPr>
              <w:ind w:left="1985" w:hanging="567"/>
              <w:jc w:val="both"/>
            </w:pPr>
            <w:r w:rsidRPr="00D51AE5">
              <w:t>The event/s rendered it impossible for the RE Developer to fulfill its obligations in a normal manner;</w:t>
            </w:r>
            <w:bookmarkEnd w:id="1"/>
          </w:p>
        </w:tc>
        <w:tc>
          <w:tcPr>
            <w:tcW w:w="3590" w:type="dxa"/>
          </w:tcPr>
          <w:p w14:paraId="6C497DE7" w14:textId="77777777" w:rsidR="006C4239" w:rsidRPr="006A1E11" w:rsidRDefault="006C4239" w:rsidP="006A1E11">
            <w:pPr>
              <w:ind w:left="1980"/>
              <w:jc w:val="both"/>
            </w:pPr>
          </w:p>
        </w:tc>
        <w:tc>
          <w:tcPr>
            <w:tcW w:w="4267" w:type="dxa"/>
          </w:tcPr>
          <w:p w14:paraId="5888B2F2" w14:textId="77777777" w:rsidR="006C4239" w:rsidRPr="006A1E11" w:rsidRDefault="006C4239" w:rsidP="006A1E11">
            <w:pPr>
              <w:ind w:left="1980"/>
              <w:jc w:val="both"/>
            </w:pPr>
          </w:p>
        </w:tc>
      </w:tr>
      <w:tr w:rsidR="006C4239" w:rsidRPr="00D51AE5" w14:paraId="5F9D225D" w14:textId="12B7412D" w:rsidTr="007639A7">
        <w:tc>
          <w:tcPr>
            <w:tcW w:w="6044" w:type="dxa"/>
          </w:tcPr>
          <w:p w14:paraId="37C36F99" w14:textId="77777777" w:rsidR="006C4239" w:rsidRPr="00D51AE5" w:rsidRDefault="006C4239" w:rsidP="006C4239">
            <w:pPr>
              <w:pStyle w:val="ListParagraph"/>
              <w:numPr>
                <w:ilvl w:val="2"/>
                <w:numId w:val="58"/>
              </w:numPr>
              <w:ind w:left="1985" w:hanging="567"/>
              <w:jc w:val="both"/>
            </w:pPr>
            <w:r w:rsidRPr="00D51AE5">
              <w:t>The RE Developer is free of participation in, or aggravation of, the injury to the DOE.</w:t>
            </w:r>
          </w:p>
        </w:tc>
        <w:tc>
          <w:tcPr>
            <w:tcW w:w="3590" w:type="dxa"/>
          </w:tcPr>
          <w:p w14:paraId="1398D067" w14:textId="77777777" w:rsidR="006C4239" w:rsidRPr="006A1E11" w:rsidRDefault="006C4239" w:rsidP="006A1E11">
            <w:pPr>
              <w:ind w:left="1980"/>
              <w:jc w:val="both"/>
            </w:pPr>
          </w:p>
        </w:tc>
        <w:tc>
          <w:tcPr>
            <w:tcW w:w="4267" w:type="dxa"/>
          </w:tcPr>
          <w:p w14:paraId="1B4C04C9" w14:textId="77777777" w:rsidR="006C4239" w:rsidRPr="006A1E11" w:rsidRDefault="006C4239" w:rsidP="006A1E11">
            <w:pPr>
              <w:ind w:left="1980"/>
              <w:jc w:val="both"/>
            </w:pPr>
          </w:p>
        </w:tc>
      </w:tr>
      <w:tr w:rsidR="006C4239" w:rsidRPr="00D51AE5" w14:paraId="475181FC" w14:textId="7A0BFE04" w:rsidTr="007639A7">
        <w:tc>
          <w:tcPr>
            <w:tcW w:w="6044" w:type="dxa"/>
          </w:tcPr>
          <w:p w14:paraId="25805534" w14:textId="77777777" w:rsidR="006C4239" w:rsidRPr="00D51AE5" w:rsidRDefault="006C4239" w:rsidP="006C4239">
            <w:pPr>
              <w:pStyle w:val="ListParagraph"/>
              <w:numPr>
                <w:ilvl w:val="1"/>
                <w:numId w:val="58"/>
              </w:numPr>
              <w:ind w:left="709" w:hanging="567"/>
              <w:jc w:val="both"/>
            </w:pPr>
            <w:r w:rsidRPr="00D51AE5">
              <w:t>After due validation which shall be made within twenty (20) days from receipt of such notice, the REMB Director shall issue an approval of suspension of contractual obligation/s affected by Force Majeure; Provided, that if the suspension of the obligations will extend the Pre-Development Stage, the REMB Director shall endorse the approval to the DOE Secretary.</w:t>
            </w:r>
          </w:p>
        </w:tc>
        <w:tc>
          <w:tcPr>
            <w:tcW w:w="3590" w:type="dxa"/>
          </w:tcPr>
          <w:p w14:paraId="4EEFB0E3" w14:textId="77777777" w:rsidR="006C4239" w:rsidRPr="006A1E11" w:rsidRDefault="006C4239" w:rsidP="006A1E11">
            <w:pPr>
              <w:ind w:left="1080"/>
              <w:jc w:val="both"/>
            </w:pPr>
          </w:p>
        </w:tc>
        <w:tc>
          <w:tcPr>
            <w:tcW w:w="4267" w:type="dxa"/>
          </w:tcPr>
          <w:p w14:paraId="391CD637" w14:textId="77777777" w:rsidR="006C4239" w:rsidRPr="006A1E11" w:rsidRDefault="006C4239" w:rsidP="006A1E11">
            <w:pPr>
              <w:ind w:left="1080"/>
              <w:jc w:val="both"/>
            </w:pPr>
          </w:p>
        </w:tc>
      </w:tr>
      <w:tr w:rsidR="006C4239" w:rsidRPr="00D51AE5" w14:paraId="7826A8EA" w14:textId="37B10209" w:rsidTr="007639A7">
        <w:tc>
          <w:tcPr>
            <w:tcW w:w="6044" w:type="dxa"/>
          </w:tcPr>
          <w:p w14:paraId="4378461D" w14:textId="77777777" w:rsidR="006C4239" w:rsidRPr="00D51AE5" w:rsidRDefault="006C4239" w:rsidP="006C4239">
            <w:pPr>
              <w:pStyle w:val="ListParagraph"/>
              <w:numPr>
                <w:ilvl w:val="1"/>
                <w:numId w:val="58"/>
              </w:numPr>
              <w:ind w:left="709" w:hanging="567"/>
              <w:jc w:val="both"/>
            </w:pPr>
            <w:r w:rsidRPr="00D51AE5">
              <w:t xml:space="preserve">Within ten (10) days from receipt of the notice of approval, the concerned REMB Division shall submit a new Work Program to be acted upon by the Supervising Assistant Secretary and thereafter endorsed to the Undersecretary for approval.  </w:t>
            </w:r>
          </w:p>
        </w:tc>
        <w:tc>
          <w:tcPr>
            <w:tcW w:w="3590" w:type="dxa"/>
          </w:tcPr>
          <w:p w14:paraId="4737701C" w14:textId="77777777" w:rsidR="006C4239" w:rsidRPr="006A1E11" w:rsidRDefault="006C4239" w:rsidP="006A1E11">
            <w:pPr>
              <w:ind w:left="1080"/>
              <w:jc w:val="both"/>
            </w:pPr>
          </w:p>
        </w:tc>
        <w:tc>
          <w:tcPr>
            <w:tcW w:w="4267" w:type="dxa"/>
          </w:tcPr>
          <w:p w14:paraId="1CA7D67C" w14:textId="77777777" w:rsidR="006C4239" w:rsidRPr="006A1E11" w:rsidRDefault="006C4239" w:rsidP="006A1E11">
            <w:pPr>
              <w:ind w:left="1080"/>
              <w:jc w:val="both"/>
            </w:pPr>
          </w:p>
        </w:tc>
      </w:tr>
      <w:tr w:rsidR="006C4239" w:rsidRPr="00D51AE5" w14:paraId="7206A502" w14:textId="6691F113" w:rsidTr="007639A7">
        <w:tc>
          <w:tcPr>
            <w:tcW w:w="6044" w:type="dxa"/>
          </w:tcPr>
          <w:p w14:paraId="035514AB" w14:textId="77777777" w:rsidR="006C4239" w:rsidRPr="00D51AE5" w:rsidRDefault="006C4239" w:rsidP="006C4239">
            <w:pPr>
              <w:pStyle w:val="ListParagraph"/>
              <w:numPr>
                <w:ilvl w:val="1"/>
                <w:numId w:val="58"/>
              </w:numPr>
              <w:ind w:left="709" w:hanging="567"/>
              <w:jc w:val="both"/>
            </w:pPr>
            <w:r w:rsidRPr="00D51AE5">
              <w:t>The RE Developer shall continue to post the performance bond, if necessary, observe administrative requirements and comply with reportorial obligations on its work commitments not affected by Force Majeure.</w:t>
            </w:r>
          </w:p>
        </w:tc>
        <w:tc>
          <w:tcPr>
            <w:tcW w:w="3590" w:type="dxa"/>
          </w:tcPr>
          <w:p w14:paraId="11F2CFE2" w14:textId="77777777" w:rsidR="006C4239" w:rsidRPr="006A1E11" w:rsidRDefault="006C4239" w:rsidP="006A1E11">
            <w:pPr>
              <w:ind w:left="1080"/>
              <w:jc w:val="both"/>
            </w:pPr>
          </w:p>
        </w:tc>
        <w:tc>
          <w:tcPr>
            <w:tcW w:w="4267" w:type="dxa"/>
          </w:tcPr>
          <w:p w14:paraId="07DA5ADF" w14:textId="77777777" w:rsidR="006C4239" w:rsidRPr="006A1E11" w:rsidRDefault="006C4239" w:rsidP="006A1E11">
            <w:pPr>
              <w:ind w:left="1080"/>
              <w:jc w:val="both"/>
            </w:pPr>
          </w:p>
        </w:tc>
      </w:tr>
      <w:tr w:rsidR="006C4239" w:rsidRPr="00D51AE5" w14:paraId="573C353E" w14:textId="49AD9028" w:rsidTr="007639A7">
        <w:tc>
          <w:tcPr>
            <w:tcW w:w="6044" w:type="dxa"/>
          </w:tcPr>
          <w:p w14:paraId="27A7462F" w14:textId="77777777" w:rsidR="006C4239" w:rsidRPr="00D51AE5" w:rsidRDefault="006C4239" w:rsidP="006C4239">
            <w:pPr>
              <w:pStyle w:val="ListParagraph"/>
              <w:numPr>
                <w:ilvl w:val="1"/>
                <w:numId w:val="58"/>
              </w:numPr>
              <w:ind w:left="709" w:hanging="567"/>
              <w:jc w:val="both"/>
            </w:pPr>
            <w:r w:rsidRPr="00D51AE5">
              <w:t>Once the Force Majeure has ceased, the RE Developer shall notify the REMB within five (5) days from cessation together with the revised Work Program covering the remaining contract term.</w:t>
            </w:r>
          </w:p>
        </w:tc>
        <w:tc>
          <w:tcPr>
            <w:tcW w:w="3590" w:type="dxa"/>
          </w:tcPr>
          <w:p w14:paraId="1B353404" w14:textId="77777777" w:rsidR="006C4239" w:rsidRPr="006A1E11" w:rsidRDefault="006C4239" w:rsidP="006A1E11">
            <w:pPr>
              <w:ind w:left="1080"/>
              <w:jc w:val="both"/>
            </w:pPr>
          </w:p>
        </w:tc>
        <w:tc>
          <w:tcPr>
            <w:tcW w:w="4267" w:type="dxa"/>
          </w:tcPr>
          <w:p w14:paraId="22801DBC" w14:textId="77777777" w:rsidR="006C4239" w:rsidRPr="006A1E11" w:rsidRDefault="006C4239" w:rsidP="006A1E11">
            <w:pPr>
              <w:ind w:left="1080"/>
              <w:jc w:val="both"/>
            </w:pPr>
          </w:p>
        </w:tc>
      </w:tr>
      <w:tr w:rsidR="006C4239" w:rsidRPr="00D51AE5" w14:paraId="1F62FF9E" w14:textId="7EB6E31D" w:rsidTr="007639A7">
        <w:tc>
          <w:tcPr>
            <w:tcW w:w="6044" w:type="dxa"/>
          </w:tcPr>
          <w:p w14:paraId="5FF399E0" w14:textId="77777777" w:rsidR="006C4239" w:rsidRPr="00D51AE5" w:rsidRDefault="006C4239" w:rsidP="006C4239">
            <w:pPr>
              <w:pStyle w:val="ListParagraph"/>
              <w:numPr>
                <w:ilvl w:val="1"/>
                <w:numId w:val="58"/>
              </w:numPr>
              <w:ind w:left="709" w:hanging="567"/>
              <w:jc w:val="both"/>
            </w:pPr>
            <w:r w:rsidRPr="00D51AE5">
              <w:t>Any failure or delay on the part of the RE Developer or the DOE in the performance of its obligations or duties under the HSC shall be excused to the extent attributable to Force Majeure.</w:t>
            </w:r>
          </w:p>
        </w:tc>
        <w:tc>
          <w:tcPr>
            <w:tcW w:w="3590" w:type="dxa"/>
          </w:tcPr>
          <w:p w14:paraId="0BDC3B7D" w14:textId="77777777" w:rsidR="006C4239" w:rsidRPr="006A1E11" w:rsidRDefault="006C4239" w:rsidP="006A1E11">
            <w:pPr>
              <w:ind w:left="1080"/>
              <w:jc w:val="both"/>
            </w:pPr>
          </w:p>
        </w:tc>
        <w:tc>
          <w:tcPr>
            <w:tcW w:w="4267" w:type="dxa"/>
          </w:tcPr>
          <w:p w14:paraId="4933D8E1" w14:textId="77777777" w:rsidR="006C4239" w:rsidRPr="006A1E11" w:rsidRDefault="006C4239" w:rsidP="006A1E11">
            <w:pPr>
              <w:ind w:left="1080"/>
              <w:jc w:val="both"/>
            </w:pPr>
          </w:p>
        </w:tc>
      </w:tr>
      <w:tr w:rsidR="006C4239" w:rsidRPr="00D51AE5" w14:paraId="2A96E1A6" w14:textId="3C5B938E" w:rsidTr="007639A7">
        <w:tc>
          <w:tcPr>
            <w:tcW w:w="6044" w:type="dxa"/>
          </w:tcPr>
          <w:p w14:paraId="7239B30D" w14:textId="77777777" w:rsidR="006C4239" w:rsidRPr="00D51AE5" w:rsidRDefault="006C4239" w:rsidP="006C4239">
            <w:pPr>
              <w:pStyle w:val="ListParagraph"/>
              <w:numPr>
                <w:ilvl w:val="1"/>
                <w:numId w:val="58"/>
              </w:numPr>
              <w:ind w:left="709" w:hanging="567"/>
              <w:jc w:val="both"/>
            </w:pPr>
            <w:r w:rsidRPr="00D51AE5">
              <w:t>If the RE operations are curtailed or prevented by such causes, then the time for enjoying the rights and carrying out the obligations thereby affected, and all rights and obligations hereunder shall be extended for a period equal to the period of delay, curtailment or prevention; Provided, however, that the suspension of obligation shall in no way extend the term of the contract; Provided, further, that if operations are delayed, curtailed or prevented by Force Majeure for a continuous period of six (6) months, the RE Developer may, at its option (a) terminate the HSC, or (b) request for the suspension of the RE Contract in accordance with Section 11 of this Chapter, subject to confirmation of the DOE.</w:t>
            </w:r>
          </w:p>
        </w:tc>
        <w:tc>
          <w:tcPr>
            <w:tcW w:w="3590" w:type="dxa"/>
          </w:tcPr>
          <w:p w14:paraId="167FD7DF" w14:textId="77777777" w:rsidR="006C4239" w:rsidRPr="006A1E11" w:rsidRDefault="006C4239" w:rsidP="006A1E11">
            <w:pPr>
              <w:ind w:left="1080"/>
              <w:jc w:val="both"/>
            </w:pPr>
          </w:p>
        </w:tc>
        <w:tc>
          <w:tcPr>
            <w:tcW w:w="4267" w:type="dxa"/>
          </w:tcPr>
          <w:p w14:paraId="20387C70" w14:textId="77777777" w:rsidR="006C4239" w:rsidRPr="006A1E11" w:rsidRDefault="006C4239" w:rsidP="006A1E11">
            <w:pPr>
              <w:ind w:left="1080"/>
              <w:jc w:val="both"/>
            </w:pPr>
          </w:p>
        </w:tc>
      </w:tr>
      <w:tr w:rsidR="006C4239" w:rsidRPr="00D51AE5" w14:paraId="30063094" w14:textId="5B68E438" w:rsidTr="007639A7">
        <w:tc>
          <w:tcPr>
            <w:tcW w:w="6044" w:type="dxa"/>
          </w:tcPr>
          <w:p w14:paraId="7A692D92" w14:textId="77777777" w:rsidR="006C4239" w:rsidRPr="00D51AE5" w:rsidRDefault="006C4239" w:rsidP="006C4239">
            <w:pPr>
              <w:pStyle w:val="ListParagraph"/>
              <w:numPr>
                <w:ilvl w:val="1"/>
                <w:numId w:val="58"/>
              </w:numPr>
              <w:ind w:left="709" w:hanging="567"/>
              <w:jc w:val="both"/>
            </w:pPr>
            <w:r w:rsidRPr="00D51AE5">
              <w:t>The party whose ability to perform its obligations under the RE Contract is so affected shall notify the other party thereof in writing stating the cause and such affected party shall do all reasonably within its power to remove such cause.</w:t>
            </w:r>
          </w:p>
        </w:tc>
        <w:tc>
          <w:tcPr>
            <w:tcW w:w="3590" w:type="dxa"/>
          </w:tcPr>
          <w:p w14:paraId="29C5DA52" w14:textId="77777777" w:rsidR="006C4239" w:rsidRPr="006A1E11" w:rsidRDefault="006C4239" w:rsidP="006A1E11">
            <w:pPr>
              <w:ind w:left="1080"/>
              <w:jc w:val="both"/>
            </w:pPr>
          </w:p>
        </w:tc>
        <w:tc>
          <w:tcPr>
            <w:tcW w:w="4267" w:type="dxa"/>
          </w:tcPr>
          <w:p w14:paraId="62082789" w14:textId="77777777" w:rsidR="006C4239" w:rsidRPr="006A1E11" w:rsidRDefault="006C4239" w:rsidP="006A1E11">
            <w:pPr>
              <w:ind w:left="1080"/>
              <w:jc w:val="both"/>
            </w:pPr>
          </w:p>
        </w:tc>
      </w:tr>
      <w:tr w:rsidR="006C4239" w:rsidRPr="00D51AE5" w14:paraId="3D2AA6DD" w14:textId="7AF831DD" w:rsidTr="007639A7">
        <w:tc>
          <w:tcPr>
            <w:tcW w:w="6044" w:type="dxa"/>
          </w:tcPr>
          <w:p w14:paraId="3FFF3896" w14:textId="77777777" w:rsidR="006C4239" w:rsidRPr="00D51AE5" w:rsidRDefault="006C4239" w:rsidP="006C4239">
            <w:pPr>
              <w:jc w:val="both"/>
              <w:rPr>
                <w:rFonts w:ascii="Arial" w:hAnsi="Arial" w:cs="Arial"/>
              </w:rPr>
            </w:pPr>
            <w:r w:rsidRPr="00D51AE5">
              <w:rPr>
                <w:rFonts w:ascii="Arial" w:hAnsi="Arial" w:cs="Arial"/>
                <w:b/>
                <w:bCs/>
              </w:rPr>
              <w:t xml:space="preserve">Section 11. </w:t>
            </w:r>
            <w:r w:rsidRPr="00D51AE5">
              <w:rPr>
                <w:rFonts w:ascii="Arial" w:hAnsi="Arial" w:cs="Arial"/>
                <w:b/>
              </w:rPr>
              <w:t xml:space="preserve">Suspension of the </w:t>
            </w:r>
            <w:r w:rsidRPr="00D51AE5">
              <w:rPr>
                <w:rFonts w:ascii="Arial" w:hAnsi="Arial" w:cs="Arial"/>
                <w:b/>
                <w:bCs/>
              </w:rPr>
              <w:t>RE Service</w:t>
            </w:r>
            <w:r w:rsidRPr="00D51AE5">
              <w:rPr>
                <w:rFonts w:ascii="Arial" w:hAnsi="Arial" w:cs="Arial"/>
                <w:b/>
              </w:rPr>
              <w:t>/Operating Contract.</w:t>
            </w:r>
            <w:r w:rsidRPr="00D51AE5">
              <w:rPr>
                <w:rFonts w:ascii="Arial" w:hAnsi="Arial" w:cs="Arial"/>
                <w:b/>
                <w:bCs/>
              </w:rPr>
              <w:t xml:space="preserve"> </w:t>
            </w:r>
            <w:r w:rsidRPr="00D51AE5">
              <w:rPr>
                <w:rFonts w:ascii="Arial" w:hAnsi="Arial" w:cs="Arial"/>
              </w:rPr>
              <w:t xml:space="preserve">In case the RE operations are delayed, curtailed or prevented by Force Majeure for a continuous period of six (6) months, the efficacy of the RE Contract may be suspended for a maximum period of three (3) years or until the Force Majeure event ceases to exist, whichever comes earlier. The period of such suspension shall not be counted against the constitutional term limits. </w:t>
            </w:r>
          </w:p>
        </w:tc>
        <w:tc>
          <w:tcPr>
            <w:tcW w:w="3590" w:type="dxa"/>
          </w:tcPr>
          <w:p w14:paraId="53F9F995" w14:textId="77777777" w:rsidR="006C4239" w:rsidRPr="006A1E11" w:rsidRDefault="006C4239" w:rsidP="006A1E11">
            <w:pPr>
              <w:ind w:left="360"/>
              <w:jc w:val="both"/>
              <w:rPr>
                <w:b/>
                <w:bCs/>
              </w:rPr>
            </w:pPr>
          </w:p>
        </w:tc>
        <w:tc>
          <w:tcPr>
            <w:tcW w:w="4267" w:type="dxa"/>
          </w:tcPr>
          <w:p w14:paraId="1E9DD696" w14:textId="77777777" w:rsidR="006C4239" w:rsidRPr="006A1E11" w:rsidRDefault="006C4239" w:rsidP="006A1E11">
            <w:pPr>
              <w:ind w:left="360"/>
              <w:jc w:val="both"/>
              <w:rPr>
                <w:b/>
                <w:bCs/>
              </w:rPr>
            </w:pPr>
          </w:p>
        </w:tc>
      </w:tr>
      <w:tr w:rsidR="006C4239" w:rsidRPr="00D51AE5" w14:paraId="27E76A98" w14:textId="2B181479" w:rsidTr="007639A7">
        <w:tc>
          <w:tcPr>
            <w:tcW w:w="6044" w:type="dxa"/>
          </w:tcPr>
          <w:p w14:paraId="285033FE" w14:textId="77777777" w:rsidR="006C4239" w:rsidRPr="00D51AE5" w:rsidRDefault="006C4239" w:rsidP="006C4239">
            <w:pPr>
              <w:jc w:val="both"/>
              <w:rPr>
                <w:rFonts w:ascii="Arial" w:hAnsi="Arial" w:cs="Arial"/>
              </w:rPr>
            </w:pPr>
            <w:r w:rsidRPr="00D51AE5">
              <w:rPr>
                <w:rFonts w:ascii="Arial" w:hAnsi="Arial" w:cs="Arial"/>
              </w:rPr>
              <w:t>The RE Developer and the DOE shall comply with the following conditions:</w:t>
            </w:r>
          </w:p>
        </w:tc>
        <w:tc>
          <w:tcPr>
            <w:tcW w:w="3590" w:type="dxa"/>
          </w:tcPr>
          <w:p w14:paraId="61686E93" w14:textId="77777777" w:rsidR="006C4239" w:rsidRPr="006A1E11" w:rsidRDefault="006C4239" w:rsidP="006A1E11">
            <w:pPr>
              <w:ind w:left="360"/>
              <w:jc w:val="both"/>
            </w:pPr>
          </w:p>
        </w:tc>
        <w:tc>
          <w:tcPr>
            <w:tcW w:w="4267" w:type="dxa"/>
          </w:tcPr>
          <w:p w14:paraId="55D622DF" w14:textId="77777777" w:rsidR="006C4239" w:rsidRPr="006A1E11" w:rsidRDefault="006C4239" w:rsidP="006A1E11">
            <w:pPr>
              <w:ind w:left="360"/>
              <w:jc w:val="both"/>
            </w:pPr>
          </w:p>
        </w:tc>
      </w:tr>
      <w:tr w:rsidR="006C4239" w:rsidRPr="00D51AE5" w14:paraId="04C3C929" w14:textId="1146EC52" w:rsidTr="007639A7">
        <w:tc>
          <w:tcPr>
            <w:tcW w:w="6044" w:type="dxa"/>
          </w:tcPr>
          <w:p w14:paraId="73F12275" w14:textId="77777777" w:rsidR="006C4239" w:rsidRPr="00D51AE5" w:rsidRDefault="006C4239" w:rsidP="006C4239">
            <w:pPr>
              <w:pStyle w:val="ListParagraph"/>
              <w:numPr>
                <w:ilvl w:val="1"/>
                <w:numId w:val="59"/>
              </w:numPr>
              <w:tabs>
                <w:tab w:val="left" w:pos="284"/>
              </w:tabs>
              <w:ind w:left="709" w:hanging="567"/>
              <w:jc w:val="both"/>
            </w:pPr>
            <w:r w:rsidRPr="00D51AE5">
              <w:t>Upon strict compliance with the conditions under Section 10 of this Chapter, the RE Developer may file a request for suspension of the RE Contract with REMB within fifteen (15) days following the last day of the said six (6)-month period.</w:t>
            </w:r>
          </w:p>
        </w:tc>
        <w:tc>
          <w:tcPr>
            <w:tcW w:w="3590" w:type="dxa"/>
          </w:tcPr>
          <w:p w14:paraId="522D4D73" w14:textId="77777777" w:rsidR="006C4239" w:rsidRPr="006A1E11" w:rsidRDefault="006C4239" w:rsidP="006A1E11">
            <w:pPr>
              <w:tabs>
                <w:tab w:val="left" w:pos="284"/>
              </w:tabs>
              <w:ind w:left="1080"/>
              <w:jc w:val="both"/>
            </w:pPr>
          </w:p>
        </w:tc>
        <w:tc>
          <w:tcPr>
            <w:tcW w:w="4267" w:type="dxa"/>
          </w:tcPr>
          <w:p w14:paraId="68E4BBCF" w14:textId="77777777" w:rsidR="006C4239" w:rsidRPr="006A1E11" w:rsidRDefault="006C4239" w:rsidP="006A1E11">
            <w:pPr>
              <w:tabs>
                <w:tab w:val="left" w:pos="284"/>
              </w:tabs>
              <w:ind w:left="1080"/>
              <w:jc w:val="both"/>
            </w:pPr>
          </w:p>
        </w:tc>
      </w:tr>
      <w:tr w:rsidR="006C4239" w:rsidRPr="00D51AE5" w14:paraId="2FF0F71F" w14:textId="07F45360" w:rsidTr="007639A7">
        <w:tc>
          <w:tcPr>
            <w:tcW w:w="6044" w:type="dxa"/>
          </w:tcPr>
          <w:p w14:paraId="46330FC6" w14:textId="77777777" w:rsidR="006C4239" w:rsidRPr="00D51AE5" w:rsidRDefault="006C4239" w:rsidP="006C4239">
            <w:pPr>
              <w:pStyle w:val="ListParagraph"/>
              <w:numPr>
                <w:ilvl w:val="1"/>
                <w:numId w:val="59"/>
              </w:numPr>
              <w:tabs>
                <w:tab w:val="left" w:pos="284"/>
              </w:tabs>
              <w:ind w:left="709" w:hanging="567"/>
              <w:jc w:val="both"/>
            </w:pPr>
            <w:r w:rsidRPr="00D51AE5">
              <w:t>The concerned REMB Division shall endorse the request to the REMB. For a period of ninety (90) days from receipt of endorsement, REMB shall exert best efforts to enable the Hydropower Developer to resume hydropower operations.</w:t>
            </w:r>
          </w:p>
        </w:tc>
        <w:tc>
          <w:tcPr>
            <w:tcW w:w="3590" w:type="dxa"/>
          </w:tcPr>
          <w:p w14:paraId="7C50374B" w14:textId="77777777" w:rsidR="006C4239" w:rsidRPr="006A1E11" w:rsidRDefault="006C4239" w:rsidP="006A1E11">
            <w:pPr>
              <w:tabs>
                <w:tab w:val="left" w:pos="284"/>
              </w:tabs>
              <w:ind w:left="1080"/>
              <w:jc w:val="both"/>
            </w:pPr>
          </w:p>
        </w:tc>
        <w:tc>
          <w:tcPr>
            <w:tcW w:w="4267" w:type="dxa"/>
          </w:tcPr>
          <w:p w14:paraId="432F2D51" w14:textId="77777777" w:rsidR="006C4239" w:rsidRPr="006A1E11" w:rsidRDefault="006C4239" w:rsidP="006A1E11">
            <w:pPr>
              <w:tabs>
                <w:tab w:val="left" w:pos="284"/>
              </w:tabs>
              <w:ind w:left="1080"/>
              <w:jc w:val="both"/>
            </w:pPr>
          </w:p>
        </w:tc>
      </w:tr>
      <w:tr w:rsidR="006C4239" w:rsidRPr="00D51AE5" w14:paraId="1974286A" w14:textId="48A46E3F" w:rsidTr="007639A7">
        <w:tc>
          <w:tcPr>
            <w:tcW w:w="6044" w:type="dxa"/>
          </w:tcPr>
          <w:p w14:paraId="060C1AFE" w14:textId="77777777" w:rsidR="006C4239" w:rsidRPr="00D51AE5" w:rsidRDefault="006C4239" w:rsidP="006C4239">
            <w:pPr>
              <w:pStyle w:val="ListParagraph"/>
              <w:numPr>
                <w:ilvl w:val="1"/>
                <w:numId w:val="59"/>
              </w:numPr>
              <w:tabs>
                <w:tab w:val="left" w:pos="284"/>
              </w:tabs>
              <w:ind w:left="709" w:hanging="567"/>
              <w:jc w:val="both"/>
            </w:pPr>
            <w:r w:rsidRPr="00D51AE5">
              <w:t xml:space="preserve">If, despite such efforts, </w:t>
            </w:r>
            <w:bookmarkStart w:id="2" w:name="_Hlk143778405"/>
            <w:r w:rsidRPr="00D51AE5">
              <w:t xml:space="preserve">the Force Majeure persists and the RE operations cannot resume, the DOE shall approve the request for suspension of the RE Contract. Notice of suspension shall be given to the RE Developer within fifteen (15) days following the last day of the ninety (90)-day period.  </w:t>
            </w:r>
            <w:bookmarkEnd w:id="2"/>
          </w:p>
        </w:tc>
        <w:tc>
          <w:tcPr>
            <w:tcW w:w="3590" w:type="dxa"/>
          </w:tcPr>
          <w:p w14:paraId="48EA9BFF" w14:textId="77777777" w:rsidR="006C4239" w:rsidRPr="006A1E11" w:rsidRDefault="006C4239" w:rsidP="006A1E11">
            <w:pPr>
              <w:tabs>
                <w:tab w:val="left" w:pos="284"/>
              </w:tabs>
              <w:ind w:left="1080"/>
              <w:jc w:val="both"/>
            </w:pPr>
          </w:p>
        </w:tc>
        <w:tc>
          <w:tcPr>
            <w:tcW w:w="4267" w:type="dxa"/>
          </w:tcPr>
          <w:p w14:paraId="6726314A" w14:textId="77777777" w:rsidR="006C4239" w:rsidRPr="006A1E11" w:rsidRDefault="006C4239" w:rsidP="006A1E11">
            <w:pPr>
              <w:tabs>
                <w:tab w:val="left" w:pos="284"/>
              </w:tabs>
              <w:ind w:left="1080"/>
              <w:jc w:val="both"/>
            </w:pPr>
          </w:p>
        </w:tc>
      </w:tr>
      <w:tr w:rsidR="006C4239" w:rsidRPr="00D51AE5" w14:paraId="25FEB0C5" w14:textId="5E6FBC81" w:rsidTr="007639A7">
        <w:tc>
          <w:tcPr>
            <w:tcW w:w="6044" w:type="dxa"/>
          </w:tcPr>
          <w:p w14:paraId="21A08443" w14:textId="77777777" w:rsidR="006C4239" w:rsidRPr="00D51AE5" w:rsidRDefault="006C4239" w:rsidP="006C4239">
            <w:pPr>
              <w:pStyle w:val="ListParagraph"/>
              <w:numPr>
                <w:ilvl w:val="1"/>
                <w:numId w:val="59"/>
              </w:numPr>
              <w:tabs>
                <w:tab w:val="left" w:pos="284"/>
              </w:tabs>
              <w:ind w:left="709" w:hanging="567"/>
              <w:jc w:val="both"/>
            </w:pPr>
            <w:r w:rsidRPr="00D51AE5">
              <w:t xml:space="preserve">Within </w:t>
            </w:r>
            <w:bookmarkStart w:id="3" w:name="_Hlk143778482"/>
            <w:r w:rsidRPr="00D51AE5">
              <w:t>ten (10) days from receipt of notice of suspension, the RE Developer shall submit a sworn undertaking to notify the DOE and submit proof that the Force Majeure has ceased. Failure to give notice within ten (10) days from cessation shall be deemed a relinquishment of the RE Contract.</w:t>
            </w:r>
            <w:bookmarkEnd w:id="3"/>
          </w:p>
        </w:tc>
        <w:tc>
          <w:tcPr>
            <w:tcW w:w="3590" w:type="dxa"/>
          </w:tcPr>
          <w:p w14:paraId="28A6E585" w14:textId="77777777" w:rsidR="006C4239" w:rsidRPr="006A1E11" w:rsidRDefault="006C4239" w:rsidP="006A1E11">
            <w:pPr>
              <w:tabs>
                <w:tab w:val="left" w:pos="284"/>
              </w:tabs>
              <w:ind w:left="1080"/>
              <w:jc w:val="both"/>
            </w:pPr>
          </w:p>
        </w:tc>
        <w:tc>
          <w:tcPr>
            <w:tcW w:w="4267" w:type="dxa"/>
          </w:tcPr>
          <w:p w14:paraId="7F9F7F0B" w14:textId="77777777" w:rsidR="006C4239" w:rsidRPr="006A1E11" w:rsidRDefault="006C4239" w:rsidP="006A1E11">
            <w:pPr>
              <w:tabs>
                <w:tab w:val="left" w:pos="284"/>
              </w:tabs>
              <w:ind w:left="1080"/>
              <w:jc w:val="both"/>
            </w:pPr>
          </w:p>
        </w:tc>
      </w:tr>
      <w:tr w:rsidR="006C4239" w:rsidRPr="00D51AE5" w14:paraId="7CA2CA4F" w14:textId="386FF7B6" w:rsidTr="007639A7">
        <w:tc>
          <w:tcPr>
            <w:tcW w:w="6044" w:type="dxa"/>
          </w:tcPr>
          <w:p w14:paraId="3C2899D8" w14:textId="77777777" w:rsidR="006C4239" w:rsidRPr="00D51AE5" w:rsidRDefault="006C4239" w:rsidP="006C4239">
            <w:pPr>
              <w:pStyle w:val="ListParagraph"/>
              <w:numPr>
                <w:ilvl w:val="1"/>
                <w:numId w:val="59"/>
              </w:numPr>
              <w:tabs>
                <w:tab w:val="left" w:pos="284"/>
              </w:tabs>
              <w:ind w:left="709" w:hanging="567"/>
              <w:jc w:val="both"/>
            </w:pPr>
            <w:r w:rsidRPr="00D51AE5">
              <w:t>If the RE Developer intends to resume operations, it shall submit to REMB a request to resume RE operations together with the notice abovementioned.</w:t>
            </w:r>
          </w:p>
        </w:tc>
        <w:tc>
          <w:tcPr>
            <w:tcW w:w="3590" w:type="dxa"/>
          </w:tcPr>
          <w:p w14:paraId="0B82CA9B" w14:textId="77777777" w:rsidR="006C4239" w:rsidRPr="006A1E11" w:rsidRDefault="006C4239" w:rsidP="006A1E11">
            <w:pPr>
              <w:tabs>
                <w:tab w:val="left" w:pos="284"/>
              </w:tabs>
              <w:ind w:left="1080"/>
              <w:jc w:val="both"/>
            </w:pPr>
          </w:p>
        </w:tc>
        <w:tc>
          <w:tcPr>
            <w:tcW w:w="4267" w:type="dxa"/>
          </w:tcPr>
          <w:p w14:paraId="3A7EDFE7" w14:textId="77777777" w:rsidR="006C4239" w:rsidRPr="006A1E11" w:rsidRDefault="006C4239" w:rsidP="006A1E11">
            <w:pPr>
              <w:tabs>
                <w:tab w:val="left" w:pos="284"/>
              </w:tabs>
              <w:ind w:left="1080"/>
              <w:jc w:val="both"/>
            </w:pPr>
          </w:p>
        </w:tc>
      </w:tr>
      <w:tr w:rsidR="006C4239" w:rsidRPr="00D51AE5" w14:paraId="6EA3E236" w14:textId="6412B393" w:rsidTr="007639A7">
        <w:tc>
          <w:tcPr>
            <w:tcW w:w="6044" w:type="dxa"/>
          </w:tcPr>
          <w:p w14:paraId="5DF72DC6" w14:textId="77777777" w:rsidR="006C4239" w:rsidRPr="00D51AE5" w:rsidRDefault="006C4239" w:rsidP="006C4239">
            <w:pPr>
              <w:pStyle w:val="ListParagraph"/>
              <w:numPr>
                <w:ilvl w:val="1"/>
                <w:numId w:val="59"/>
              </w:numPr>
              <w:tabs>
                <w:tab w:val="left" w:pos="284"/>
              </w:tabs>
              <w:ind w:left="709" w:hanging="567"/>
              <w:jc w:val="both"/>
            </w:pPr>
            <w:r w:rsidRPr="00D51AE5">
              <w:t>After due evaluation and if warranted, the concerned REMB Division shall endorse the approval of the request to the REMB Director, who may endorse the same to the DOE Secretary for approval.</w:t>
            </w:r>
          </w:p>
        </w:tc>
        <w:tc>
          <w:tcPr>
            <w:tcW w:w="3590" w:type="dxa"/>
          </w:tcPr>
          <w:p w14:paraId="6ED4753A" w14:textId="77777777" w:rsidR="006C4239" w:rsidRPr="006A1E11" w:rsidRDefault="006C4239" w:rsidP="006A1E11">
            <w:pPr>
              <w:tabs>
                <w:tab w:val="left" w:pos="284"/>
              </w:tabs>
              <w:ind w:left="1080"/>
              <w:jc w:val="both"/>
            </w:pPr>
          </w:p>
        </w:tc>
        <w:tc>
          <w:tcPr>
            <w:tcW w:w="4267" w:type="dxa"/>
          </w:tcPr>
          <w:p w14:paraId="3C7FF1AF" w14:textId="77777777" w:rsidR="006C4239" w:rsidRPr="006A1E11" w:rsidRDefault="006C4239" w:rsidP="006A1E11">
            <w:pPr>
              <w:tabs>
                <w:tab w:val="left" w:pos="284"/>
              </w:tabs>
              <w:ind w:left="1080"/>
              <w:jc w:val="both"/>
            </w:pPr>
          </w:p>
        </w:tc>
      </w:tr>
      <w:tr w:rsidR="006C4239" w:rsidRPr="00D51AE5" w14:paraId="46C52381" w14:textId="47D078CD" w:rsidTr="007639A7">
        <w:tc>
          <w:tcPr>
            <w:tcW w:w="6044" w:type="dxa"/>
          </w:tcPr>
          <w:p w14:paraId="757FE6C6" w14:textId="77777777" w:rsidR="006C4239" w:rsidRPr="00D51AE5" w:rsidRDefault="006C4239" w:rsidP="006C4239">
            <w:pPr>
              <w:pStyle w:val="ListParagraph"/>
              <w:numPr>
                <w:ilvl w:val="1"/>
                <w:numId w:val="59"/>
              </w:numPr>
              <w:tabs>
                <w:tab w:val="left" w:pos="284"/>
              </w:tabs>
              <w:ind w:left="709" w:hanging="567"/>
              <w:jc w:val="both"/>
            </w:pPr>
            <w:r w:rsidRPr="00D51AE5">
              <w:t>The RE Developer may only avail of the above suspension of the RE Contract once during its term.</w:t>
            </w:r>
          </w:p>
        </w:tc>
        <w:tc>
          <w:tcPr>
            <w:tcW w:w="3590" w:type="dxa"/>
          </w:tcPr>
          <w:p w14:paraId="4BACB888" w14:textId="77777777" w:rsidR="006C4239" w:rsidRPr="006A1E11" w:rsidRDefault="006C4239" w:rsidP="006A1E11">
            <w:pPr>
              <w:tabs>
                <w:tab w:val="left" w:pos="284"/>
              </w:tabs>
              <w:ind w:left="1080"/>
              <w:jc w:val="both"/>
            </w:pPr>
          </w:p>
        </w:tc>
        <w:tc>
          <w:tcPr>
            <w:tcW w:w="4267" w:type="dxa"/>
          </w:tcPr>
          <w:p w14:paraId="23B73DF2" w14:textId="77777777" w:rsidR="006C4239" w:rsidRPr="006A1E11" w:rsidRDefault="006C4239" w:rsidP="006A1E11">
            <w:pPr>
              <w:tabs>
                <w:tab w:val="left" w:pos="284"/>
              </w:tabs>
              <w:ind w:left="1080"/>
              <w:jc w:val="both"/>
            </w:pPr>
          </w:p>
        </w:tc>
      </w:tr>
      <w:tr w:rsidR="006C4239" w:rsidRPr="00D51AE5" w14:paraId="788AB14B" w14:textId="18104FD3" w:rsidTr="007639A7">
        <w:tc>
          <w:tcPr>
            <w:tcW w:w="6044" w:type="dxa"/>
          </w:tcPr>
          <w:p w14:paraId="59B7BAEB" w14:textId="77777777" w:rsidR="006C4239" w:rsidRPr="00D51AE5" w:rsidRDefault="006C4239" w:rsidP="006C4239">
            <w:pPr>
              <w:jc w:val="both"/>
              <w:outlineLvl w:val="1"/>
              <w:rPr>
                <w:rFonts w:ascii="Arial" w:hAnsi="Arial" w:cs="Arial"/>
              </w:rPr>
            </w:pPr>
            <w:r w:rsidRPr="00D51AE5">
              <w:rPr>
                <w:rFonts w:ascii="Arial" w:hAnsi="Arial" w:cs="Arial"/>
                <w:b/>
                <w:bCs/>
              </w:rPr>
              <w:t>Section 1</w:t>
            </w:r>
            <w:r w:rsidRPr="00D51AE5">
              <w:rPr>
                <w:rFonts w:ascii="Arial" w:hAnsi="Arial" w:cs="Arial"/>
                <w:b/>
              </w:rPr>
              <w:t>2</w:t>
            </w:r>
            <w:r w:rsidRPr="00D51AE5">
              <w:rPr>
                <w:rFonts w:ascii="Arial" w:hAnsi="Arial" w:cs="Arial"/>
                <w:b/>
                <w:bCs/>
              </w:rPr>
              <w:t xml:space="preserve">. Power to Compel or Conduct Operations. </w:t>
            </w:r>
            <w:r w:rsidRPr="00D51AE5">
              <w:rPr>
                <w:rFonts w:ascii="Arial" w:hAnsi="Arial" w:cs="Arial"/>
              </w:rPr>
              <w:t>The DOE shall have the power to compel the RE Developer to perform RE operations when the following conditions exist:</w:t>
            </w:r>
          </w:p>
        </w:tc>
        <w:tc>
          <w:tcPr>
            <w:tcW w:w="3590" w:type="dxa"/>
          </w:tcPr>
          <w:p w14:paraId="2E2665DB" w14:textId="77777777" w:rsidR="006C4239" w:rsidRPr="006A1E11" w:rsidRDefault="006C4239" w:rsidP="006A1E11">
            <w:pPr>
              <w:ind w:left="360"/>
              <w:jc w:val="both"/>
              <w:outlineLvl w:val="1"/>
              <w:rPr>
                <w:b/>
                <w:bCs/>
              </w:rPr>
            </w:pPr>
          </w:p>
        </w:tc>
        <w:tc>
          <w:tcPr>
            <w:tcW w:w="4267" w:type="dxa"/>
          </w:tcPr>
          <w:p w14:paraId="44D30FC5" w14:textId="77777777" w:rsidR="006C4239" w:rsidRPr="006A1E11" w:rsidRDefault="006C4239" w:rsidP="006A1E11">
            <w:pPr>
              <w:ind w:left="360"/>
              <w:jc w:val="both"/>
              <w:outlineLvl w:val="1"/>
              <w:rPr>
                <w:b/>
                <w:bCs/>
              </w:rPr>
            </w:pPr>
          </w:p>
        </w:tc>
      </w:tr>
      <w:tr w:rsidR="006C4239" w:rsidRPr="00D51AE5" w14:paraId="242D53DE" w14:textId="24D59A1D" w:rsidTr="007639A7">
        <w:tc>
          <w:tcPr>
            <w:tcW w:w="6044" w:type="dxa"/>
          </w:tcPr>
          <w:p w14:paraId="7BC087F9" w14:textId="77777777" w:rsidR="006C4239" w:rsidRPr="00D51AE5" w:rsidRDefault="006C4239" w:rsidP="006C4239">
            <w:pPr>
              <w:jc w:val="both"/>
              <w:outlineLvl w:val="1"/>
              <w:rPr>
                <w:rFonts w:ascii="Arial" w:hAnsi="Arial" w:cs="Arial"/>
              </w:rPr>
            </w:pPr>
            <w:r w:rsidRPr="00D51AE5">
              <w:rPr>
                <w:rFonts w:ascii="Arial" w:hAnsi="Arial" w:cs="Arial"/>
              </w:rPr>
              <w:t xml:space="preserve">a. </w:t>
            </w:r>
            <w:r w:rsidRPr="00D51AE5">
              <w:rPr>
                <w:rFonts w:ascii="Arial" w:hAnsi="Arial" w:cs="Arial"/>
              </w:rPr>
              <w:tab/>
              <w:t xml:space="preserve">The RE Developer fails, refuses </w:t>
            </w:r>
            <w:bookmarkStart w:id="4" w:name="_Hlk143781488"/>
            <w:r w:rsidRPr="00D51AE5">
              <w:rPr>
                <w:rFonts w:ascii="Arial" w:hAnsi="Arial" w:cs="Arial"/>
              </w:rPr>
              <w:t>or neglects to perform the RE operations without any justifiable cause; and</w:t>
            </w:r>
            <w:bookmarkEnd w:id="4"/>
          </w:p>
        </w:tc>
        <w:tc>
          <w:tcPr>
            <w:tcW w:w="3590" w:type="dxa"/>
          </w:tcPr>
          <w:p w14:paraId="1B283650" w14:textId="77777777" w:rsidR="006C4239" w:rsidRPr="006A1E11" w:rsidRDefault="006C4239" w:rsidP="006A1E11">
            <w:pPr>
              <w:ind w:left="360"/>
              <w:jc w:val="both"/>
              <w:outlineLvl w:val="1"/>
            </w:pPr>
          </w:p>
        </w:tc>
        <w:tc>
          <w:tcPr>
            <w:tcW w:w="4267" w:type="dxa"/>
          </w:tcPr>
          <w:p w14:paraId="31861BE9" w14:textId="77777777" w:rsidR="006C4239" w:rsidRPr="006A1E11" w:rsidRDefault="006C4239" w:rsidP="006A1E11">
            <w:pPr>
              <w:ind w:left="360"/>
              <w:jc w:val="both"/>
              <w:outlineLvl w:val="1"/>
            </w:pPr>
          </w:p>
        </w:tc>
      </w:tr>
      <w:tr w:rsidR="006C4239" w:rsidRPr="00D51AE5" w14:paraId="1D9C24CF" w14:textId="20A78A91" w:rsidTr="007639A7">
        <w:tc>
          <w:tcPr>
            <w:tcW w:w="6044" w:type="dxa"/>
          </w:tcPr>
          <w:p w14:paraId="79F74197" w14:textId="77777777" w:rsidR="006C4239" w:rsidRPr="00D51AE5" w:rsidRDefault="006C4239" w:rsidP="006C4239">
            <w:pPr>
              <w:jc w:val="both"/>
              <w:outlineLvl w:val="1"/>
              <w:rPr>
                <w:rFonts w:ascii="Arial" w:hAnsi="Arial" w:cs="Arial"/>
              </w:rPr>
            </w:pPr>
            <w:r w:rsidRPr="00D51AE5">
              <w:rPr>
                <w:rFonts w:ascii="Arial" w:hAnsi="Arial" w:cs="Arial"/>
              </w:rPr>
              <w:t xml:space="preserve">b. </w:t>
            </w:r>
            <w:r w:rsidRPr="00D51AE5">
              <w:rPr>
                <w:rFonts w:ascii="Arial" w:hAnsi="Arial" w:cs="Arial"/>
              </w:rPr>
              <w:tab/>
              <w:t>Such failure, refusal or neglect:</w:t>
            </w:r>
          </w:p>
        </w:tc>
        <w:tc>
          <w:tcPr>
            <w:tcW w:w="3590" w:type="dxa"/>
          </w:tcPr>
          <w:p w14:paraId="3FE81360" w14:textId="77777777" w:rsidR="006C4239" w:rsidRPr="006A1E11" w:rsidRDefault="006C4239" w:rsidP="006A1E11">
            <w:pPr>
              <w:ind w:left="360"/>
              <w:jc w:val="both"/>
              <w:outlineLvl w:val="1"/>
            </w:pPr>
          </w:p>
        </w:tc>
        <w:tc>
          <w:tcPr>
            <w:tcW w:w="4267" w:type="dxa"/>
          </w:tcPr>
          <w:p w14:paraId="567B9BE0" w14:textId="77777777" w:rsidR="006C4239" w:rsidRPr="006A1E11" w:rsidRDefault="006C4239" w:rsidP="006A1E11">
            <w:pPr>
              <w:ind w:left="360"/>
              <w:jc w:val="both"/>
              <w:outlineLvl w:val="1"/>
            </w:pPr>
          </w:p>
        </w:tc>
      </w:tr>
      <w:tr w:rsidR="006C4239" w:rsidRPr="00D51AE5" w14:paraId="5CD7B43D" w14:textId="7782FC07" w:rsidTr="007639A7">
        <w:tc>
          <w:tcPr>
            <w:tcW w:w="6044" w:type="dxa"/>
          </w:tcPr>
          <w:p w14:paraId="0A3CE2DB" w14:textId="77777777" w:rsidR="006C4239" w:rsidRPr="00D51AE5" w:rsidRDefault="006C4239" w:rsidP="006C4239">
            <w:pPr>
              <w:jc w:val="both"/>
              <w:outlineLvl w:val="1"/>
              <w:rPr>
                <w:rFonts w:ascii="Arial" w:hAnsi="Arial" w:cs="Arial"/>
              </w:rPr>
            </w:pPr>
            <w:proofErr w:type="spellStart"/>
            <w:r w:rsidRPr="00D51AE5">
              <w:rPr>
                <w:rFonts w:ascii="Arial" w:hAnsi="Arial" w:cs="Arial"/>
              </w:rPr>
              <w:t>i</w:t>
            </w:r>
            <w:proofErr w:type="spellEnd"/>
            <w:r w:rsidRPr="00D51AE5">
              <w:rPr>
                <w:rFonts w:ascii="Arial" w:hAnsi="Arial" w:cs="Arial"/>
              </w:rPr>
              <w:t xml:space="preserve">. </w:t>
            </w:r>
            <w:r w:rsidRPr="00D51AE5">
              <w:rPr>
                <w:rFonts w:ascii="Arial" w:hAnsi="Arial" w:cs="Arial"/>
              </w:rPr>
              <w:tab/>
              <w:t>Results in or contributes to a shortage in the supply of electricity, based on the report of the EPIMB; and</w:t>
            </w:r>
          </w:p>
        </w:tc>
        <w:tc>
          <w:tcPr>
            <w:tcW w:w="3590" w:type="dxa"/>
          </w:tcPr>
          <w:p w14:paraId="6AD351EA" w14:textId="77777777" w:rsidR="006C4239" w:rsidRPr="006A1E11" w:rsidRDefault="006C4239" w:rsidP="006A1E11">
            <w:pPr>
              <w:ind w:left="360"/>
              <w:jc w:val="both"/>
              <w:outlineLvl w:val="1"/>
            </w:pPr>
          </w:p>
        </w:tc>
        <w:tc>
          <w:tcPr>
            <w:tcW w:w="4267" w:type="dxa"/>
          </w:tcPr>
          <w:p w14:paraId="770B8DBA" w14:textId="77777777" w:rsidR="006C4239" w:rsidRPr="006A1E11" w:rsidRDefault="006C4239" w:rsidP="006A1E11">
            <w:pPr>
              <w:ind w:left="360"/>
              <w:jc w:val="both"/>
              <w:outlineLvl w:val="1"/>
            </w:pPr>
          </w:p>
        </w:tc>
      </w:tr>
      <w:tr w:rsidR="006C4239" w:rsidRPr="00D51AE5" w14:paraId="28181F00" w14:textId="2D5A4165" w:rsidTr="007639A7">
        <w:tc>
          <w:tcPr>
            <w:tcW w:w="6044" w:type="dxa"/>
          </w:tcPr>
          <w:p w14:paraId="5A2A6957" w14:textId="77777777" w:rsidR="006C4239" w:rsidRPr="00D51AE5" w:rsidRDefault="006C4239" w:rsidP="006C4239">
            <w:pPr>
              <w:jc w:val="both"/>
              <w:outlineLvl w:val="1"/>
              <w:rPr>
                <w:rFonts w:ascii="Arial" w:hAnsi="Arial" w:cs="Arial"/>
              </w:rPr>
            </w:pPr>
            <w:r w:rsidRPr="00D51AE5">
              <w:rPr>
                <w:rFonts w:ascii="Arial" w:hAnsi="Arial" w:cs="Arial"/>
              </w:rPr>
              <w:t xml:space="preserve">ii. </w:t>
            </w:r>
            <w:r w:rsidRPr="00D51AE5">
              <w:rPr>
                <w:rFonts w:ascii="Arial" w:hAnsi="Arial" w:cs="Arial"/>
              </w:rPr>
              <w:tab/>
              <w:t>Poses an imminent threat to the country's national security and/or economy, as determined by the DOE Secretary and as recommended by the concerned government agencies.</w:t>
            </w:r>
          </w:p>
        </w:tc>
        <w:tc>
          <w:tcPr>
            <w:tcW w:w="3590" w:type="dxa"/>
          </w:tcPr>
          <w:p w14:paraId="75A838F6" w14:textId="77777777" w:rsidR="006C4239" w:rsidRPr="006A1E11" w:rsidRDefault="006C4239" w:rsidP="006A1E11">
            <w:pPr>
              <w:ind w:left="360"/>
              <w:jc w:val="both"/>
              <w:outlineLvl w:val="1"/>
            </w:pPr>
          </w:p>
        </w:tc>
        <w:tc>
          <w:tcPr>
            <w:tcW w:w="4267" w:type="dxa"/>
          </w:tcPr>
          <w:p w14:paraId="7A8B9A47" w14:textId="77777777" w:rsidR="006C4239" w:rsidRPr="006A1E11" w:rsidRDefault="006C4239" w:rsidP="006A1E11">
            <w:pPr>
              <w:ind w:left="360"/>
              <w:jc w:val="both"/>
              <w:outlineLvl w:val="1"/>
            </w:pPr>
          </w:p>
        </w:tc>
      </w:tr>
      <w:tr w:rsidR="006C4239" w:rsidRPr="00D51AE5" w14:paraId="3EC7D979" w14:textId="56EC9D48" w:rsidTr="007639A7">
        <w:tc>
          <w:tcPr>
            <w:tcW w:w="6044" w:type="dxa"/>
          </w:tcPr>
          <w:p w14:paraId="406A0829" w14:textId="77777777" w:rsidR="006C4239" w:rsidRPr="00D51AE5" w:rsidRDefault="006C4239" w:rsidP="006C4239">
            <w:pPr>
              <w:jc w:val="both"/>
              <w:outlineLvl w:val="1"/>
              <w:rPr>
                <w:rFonts w:ascii="Arial" w:hAnsi="Arial" w:cs="Arial"/>
              </w:rPr>
            </w:pPr>
            <w:bookmarkStart w:id="5" w:name="_Hlk143781918"/>
            <w:r w:rsidRPr="00D51AE5">
              <w:rPr>
                <w:rFonts w:ascii="Arial" w:hAnsi="Arial" w:cs="Arial"/>
              </w:rPr>
              <w:t>If the RE Developer does not comply with the DOE's directive within three (3) calendar days from receipt, such noncompliance shall be deemed sufficient authority for the DOE to conduct RE operations directly or through another government entity; Provided, that the DOE's authority herein set forth shall only subsist for such period as may be needed to avert or arrest the threat, or upon the RE Developer's resumption of RE operations, whichever comes earlier.</w:t>
            </w:r>
          </w:p>
        </w:tc>
        <w:tc>
          <w:tcPr>
            <w:tcW w:w="3590" w:type="dxa"/>
          </w:tcPr>
          <w:p w14:paraId="36A038F7" w14:textId="77777777" w:rsidR="006C4239" w:rsidRPr="006A1E11" w:rsidRDefault="006C4239" w:rsidP="006A1E11">
            <w:pPr>
              <w:ind w:left="360"/>
              <w:jc w:val="both"/>
              <w:outlineLvl w:val="1"/>
            </w:pPr>
          </w:p>
        </w:tc>
        <w:tc>
          <w:tcPr>
            <w:tcW w:w="4267" w:type="dxa"/>
          </w:tcPr>
          <w:p w14:paraId="4E5AC86B" w14:textId="77777777" w:rsidR="006C4239" w:rsidRPr="006A1E11" w:rsidRDefault="006C4239" w:rsidP="006A1E11">
            <w:pPr>
              <w:ind w:left="360"/>
              <w:jc w:val="both"/>
              <w:outlineLvl w:val="1"/>
            </w:pPr>
          </w:p>
        </w:tc>
      </w:tr>
      <w:bookmarkEnd w:id="5"/>
      <w:tr w:rsidR="006C4239" w:rsidRPr="00D51AE5" w14:paraId="49B64BD6" w14:textId="76617ECA" w:rsidTr="007639A7">
        <w:tc>
          <w:tcPr>
            <w:tcW w:w="6044" w:type="dxa"/>
          </w:tcPr>
          <w:p w14:paraId="13EEC2DD" w14:textId="77777777" w:rsidR="006C4239" w:rsidRPr="00D51AE5" w:rsidRDefault="006C4239" w:rsidP="006C4239">
            <w:pPr>
              <w:jc w:val="both"/>
              <w:outlineLvl w:val="1"/>
              <w:rPr>
                <w:rFonts w:ascii="Arial" w:hAnsi="Arial" w:cs="Arial"/>
                <w:b/>
                <w:bCs/>
              </w:rPr>
            </w:pPr>
            <w:r w:rsidRPr="00D51AE5">
              <w:rPr>
                <w:rFonts w:ascii="Arial" w:hAnsi="Arial" w:cs="Arial"/>
                <w:b/>
                <w:bCs/>
              </w:rPr>
              <w:t xml:space="preserve">Section 13. Termination of RE Contracts. </w:t>
            </w:r>
            <w:r w:rsidRPr="00D51AE5">
              <w:rPr>
                <w:rFonts w:ascii="Arial" w:hAnsi="Arial" w:cs="Arial"/>
              </w:rPr>
              <w:t>The DOE shall have the power to terminate RE Contracts, after due notice to the RE Developer.</w:t>
            </w:r>
          </w:p>
        </w:tc>
        <w:tc>
          <w:tcPr>
            <w:tcW w:w="3590" w:type="dxa"/>
          </w:tcPr>
          <w:p w14:paraId="7242F8AF" w14:textId="77777777" w:rsidR="006C4239" w:rsidRPr="006A1E11" w:rsidRDefault="006C4239" w:rsidP="006A1E11">
            <w:pPr>
              <w:ind w:left="360"/>
              <w:jc w:val="both"/>
              <w:outlineLvl w:val="1"/>
              <w:rPr>
                <w:b/>
                <w:bCs/>
              </w:rPr>
            </w:pPr>
          </w:p>
        </w:tc>
        <w:tc>
          <w:tcPr>
            <w:tcW w:w="4267" w:type="dxa"/>
          </w:tcPr>
          <w:p w14:paraId="154A0CF0" w14:textId="77777777" w:rsidR="006C4239" w:rsidRPr="006A1E11" w:rsidRDefault="006C4239" w:rsidP="006A1E11">
            <w:pPr>
              <w:ind w:left="360"/>
              <w:jc w:val="both"/>
              <w:outlineLvl w:val="1"/>
              <w:rPr>
                <w:b/>
                <w:bCs/>
              </w:rPr>
            </w:pPr>
          </w:p>
        </w:tc>
      </w:tr>
      <w:tr w:rsidR="006C4239" w:rsidRPr="00D51AE5" w14:paraId="0FA869E0" w14:textId="281D459D" w:rsidTr="007639A7">
        <w:tc>
          <w:tcPr>
            <w:tcW w:w="6044" w:type="dxa"/>
          </w:tcPr>
          <w:p w14:paraId="71882961" w14:textId="77777777" w:rsidR="006C4239" w:rsidRPr="00D51AE5" w:rsidRDefault="006C4239" w:rsidP="006C4239">
            <w:pPr>
              <w:pStyle w:val="ListParagraph"/>
              <w:numPr>
                <w:ilvl w:val="1"/>
                <w:numId w:val="60"/>
              </w:numPr>
              <w:ind w:hanging="504"/>
              <w:jc w:val="both"/>
              <w:outlineLvl w:val="1"/>
            </w:pPr>
            <w:r w:rsidRPr="00D51AE5">
              <w:rPr>
                <w:b/>
              </w:rPr>
              <w:t>Evaluation Process for RE Contract Termination.</w:t>
            </w:r>
            <w:r w:rsidRPr="00D51AE5">
              <w:t xml:space="preserve"> The concerned REMB Division shall recommend the termination of the RE Contract within the following timelines:</w:t>
            </w:r>
          </w:p>
        </w:tc>
        <w:tc>
          <w:tcPr>
            <w:tcW w:w="3590" w:type="dxa"/>
          </w:tcPr>
          <w:p w14:paraId="119F0B00" w14:textId="77777777" w:rsidR="006C4239" w:rsidRPr="006A1E11" w:rsidRDefault="006C4239" w:rsidP="006A1E11">
            <w:pPr>
              <w:ind w:left="1080"/>
              <w:jc w:val="both"/>
              <w:outlineLvl w:val="1"/>
              <w:rPr>
                <w:b/>
              </w:rPr>
            </w:pPr>
          </w:p>
        </w:tc>
        <w:tc>
          <w:tcPr>
            <w:tcW w:w="4267" w:type="dxa"/>
          </w:tcPr>
          <w:p w14:paraId="0604710E" w14:textId="77777777" w:rsidR="006C4239" w:rsidRPr="006A1E11" w:rsidRDefault="006C4239" w:rsidP="006A1E11">
            <w:pPr>
              <w:ind w:left="1080"/>
              <w:jc w:val="both"/>
              <w:outlineLvl w:val="1"/>
              <w:rPr>
                <w:b/>
              </w:rPr>
            </w:pPr>
          </w:p>
        </w:tc>
      </w:tr>
      <w:tr w:rsidR="006C4239" w:rsidRPr="00D51AE5" w14:paraId="3E2B3ED9" w14:textId="5E533591" w:rsidTr="007639A7">
        <w:tc>
          <w:tcPr>
            <w:tcW w:w="6044" w:type="dxa"/>
          </w:tcPr>
          <w:p w14:paraId="21406339" w14:textId="77777777" w:rsidR="006C4239" w:rsidRPr="00D51AE5" w:rsidRDefault="006C4239" w:rsidP="006C4239">
            <w:pPr>
              <w:pStyle w:val="ListParagraph"/>
              <w:numPr>
                <w:ilvl w:val="2"/>
                <w:numId w:val="60"/>
              </w:numPr>
              <w:ind w:left="1985" w:hanging="567"/>
              <w:jc w:val="both"/>
              <w:outlineLvl w:val="1"/>
            </w:pPr>
            <w:r w:rsidRPr="00D51AE5">
              <w:t>Five (5) days from the lapse of the Pre-Development Stage of the RE Contract where the RE Developer failed to submit its DOC;</w:t>
            </w:r>
          </w:p>
        </w:tc>
        <w:tc>
          <w:tcPr>
            <w:tcW w:w="3590" w:type="dxa"/>
          </w:tcPr>
          <w:p w14:paraId="3A1E631B" w14:textId="77777777" w:rsidR="006C4239" w:rsidRPr="006A1E11" w:rsidRDefault="006C4239" w:rsidP="006A1E11">
            <w:pPr>
              <w:ind w:left="1980"/>
              <w:jc w:val="both"/>
              <w:outlineLvl w:val="1"/>
            </w:pPr>
          </w:p>
        </w:tc>
        <w:tc>
          <w:tcPr>
            <w:tcW w:w="4267" w:type="dxa"/>
          </w:tcPr>
          <w:p w14:paraId="393ADFB5" w14:textId="77777777" w:rsidR="006C4239" w:rsidRPr="006A1E11" w:rsidRDefault="006C4239" w:rsidP="006A1E11">
            <w:pPr>
              <w:ind w:left="1980"/>
              <w:jc w:val="both"/>
              <w:outlineLvl w:val="1"/>
            </w:pPr>
          </w:p>
        </w:tc>
      </w:tr>
      <w:tr w:rsidR="006C4239" w:rsidRPr="00D51AE5" w14:paraId="406D29AB" w14:textId="79FB4AC6" w:rsidTr="007639A7">
        <w:tc>
          <w:tcPr>
            <w:tcW w:w="6044" w:type="dxa"/>
          </w:tcPr>
          <w:p w14:paraId="01C367AE" w14:textId="77777777" w:rsidR="006C4239" w:rsidRPr="00D51AE5" w:rsidRDefault="006C4239" w:rsidP="006C4239">
            <w:pPr>
              <w:pStyle w:val="ListParagraph"/>
              <w:numPr>
                <w:ilvl w:val="2"/>
                <w:numId w:val="60"/>
              </w:numPr>
              <w:ind w:left="1985" w:hanging="567"/>
              <w:jc w:val="both"/>
              <w:outlineLvl w:val="1"/>
            </w:pPr>
            <w:r w:rsidRPr="00D51AE5">
              <w:t>Three (3) days from the voluntary relinquishment of the RE Developer of the RE Contract;</w:t>
            </w:r>
          </w:p>
        </w:tc>
        <w:tc>
          <w:tcPr>
            <w:tcW w:w="3590" w:type="dxa"/>
          </w:tcPr>
          <w:p w14:paraId="6807C1D7" w14:textId="77777777" w:rsidR="006C4239" w:rsidRPr="006A1E11" w:rsidRDefault="006C4239" w:rsidP="006A1E11">
            <w:pPr>
              <w:ind w:left="1980"/>
              <w:jc w:val="both"/>
              <w:outlineLvl w:val="1"/>
            </w:pPr>
          </w:p>
        </w:tc>
        <w:tc>
          <w:tcPr>
            <w:tcW w:w="4267" w:type="dxa"/>
          </w:tcPr>
          <w:p w14:paraId="387080F2" w14:textId="77777777" w:rsidR="006C4239" w:rsidRPr="006A1E11" w:rsidRDefault="006C4239" w:rsidP="006A1E11">
            <w:pPr>
              <w:ind w:left="1980"/>
              <w:jc w:val="both"/>
              <w:outlineLvl w:val="1"/>
            </w:pPr>
          </w:p>
        </w:tc>
      </w:tr>
      <w:tr w:rsidR="006C4239" w:rsidRPr="00D51AE5" w14:paraId="2FAEA756" w14:textId="1A5911C2" w:rsidTr="007639A7">
        <w:tc>
          <w:tcPr>
            <w:tcW w:w="6044" w:type="dxa"/>
          </w:tcPr>
          <w:p w14:paraId="3DBDA6A4" w14:textId="77777777" w:rsidR="006C4239" w:rsidRPr="00D51AE5" w:rsidRDefault="006C4239" w:rsidP="006C4239">
            <w:pPr>
              <w:pStyle w:val="ListParagraph"/>
              <w:numPr>
                <w:ilvl w:val="2"/>
                <w:numId w:val="60"/>
              </w:numPr>
              <w:ind w:left="1985" w:hanging="567"/>
              <w:jc w:val="both"/>
              <w:outlineLvl w:val="1"/>
            </w:pPr>
            <w:r w:rsidRPr="00D51AE5">
              <w:t xml:space="preserve">Prior to the pre-construction phase of the RE Contract, upon the discovery that the RE Developer failed to maintain the required performance bond; </w:t>
            </w:r>
          </w:p>
        </w:tc>
        <w:tc>
          <w:tcPr>
            <w:tcW w:w="3590" w:type="dxa"/>
          </w:tcPr>
          <w:p w14:paraId="5050419E" w14:textId="77777777" w:rsidR="006C4239" w:rsidRPr="006A1E11" w:rsidRDefault="006C4239" w:rsidP="006A1E11">
            <w:pPr>
              <w:ind w:left="1980"/>
              <w:jc w:val="both"/>
              <w:outlineLvl w:val="1"/>
            </w:pPr>
          </w:p>
        </w:tc>
        <w:tc>
          <w:tcPr>
            <w:tcW w:w="4267" w:type="dxa"/>
          </w:tcPr>
          <w:p w14:paraId="660AF233" w14:textId="77777777" w:rsidR="006C4239" w:rsidRPr="006A1E11" w:rsidRDefault="006C4239" w:rsidP="006A1E11">
            <w:pPr>
              <w:ind w:left="1980"/>
              <w:jc w:val="both"/>
              <w:outlineLvl w:val="1"/>
            </w:pPr>
          </w:p>
        </w:tc>
      </w:tr>
      <w:tr w:rsidR="006C4239" w:rsidRPr="00D51AE5" w14:paraId="15E1E72A" w14:textId="27791015" w:rsidTr="007639A7">
        <w:tc>
          <w:tcPr>
            <w:tcW w:w="6044" w:type="dxa"/>
          </w:tcPr>
          <w:p w14:paraId="504F8659" w14:textId="771F3AB6" w:rsidR="006C4239" w:rsidRPr="00D51AE5" w:rsidRDefault="006C4239" w:rsidP="006C4239">
            <w:pPr>
              <w:pStyle w:val="ListParagraph"/>
              <w:numPr>
                <w:ilvl w:val="2"/>
                <w:numId w:val="60"/>
              </w:numPr>
              <w:ind w:left="1985" w:hanging="567"/>
              <w:jc w:val="both"/>
              <w:outlineLvl w:val="1"/>
            </w:pPr>
            <w:r w:rsidRPr="00D51AE5">
              <w:t>During the Development Stage, upon the DOE’s finding that the conditions set forth in Section 12(</w:t>
            </w:r>
            <w:commentRangeStart w:id="6"/>
            <w:r w:rsidRPr="00D51AE5">
              <w:t>a</w:t>
            </w:r>
            <w:commentRangeEnd w:id="6"/>
            <w:r w:rsidRPr="00D51AE5">
              <w:rPr>
                <w:rStyle w:val="CommentReference"/>
                <w:sz w:val="24"/>
                <w:szCs w:val="24"/>
              </w:rPr>
              <w:commentReference w:id="6"/>
            </w:r>
            <w:r w:rsidRPr="00D51AE5">
              <w:t>) and (b) of this Chapter exist; or</w:t>
            </w:r>
          </w:p>
        </w:tc>
        <w:tc>
          <w:tcPr>
            <w:tcW w:w="3590" w:type="dxa"/>
          </w:tcPr>
          <w:p w14:paraId="28210CB1" w14:textId="77777777" w:rsidR="006C4239" w:rsidRPr="006A1E11" w:rsidRDefault="006C4239" w:rsidP="006A1E11">
            <w:pPr>
              <w:ind w:left="1980"/>
              <w:jc w:val="both"/>
              <w:outlineLvl w:val="1"/>
            </w:pPr>
          </w:p>
        </w:tc>
        <w:tc>
          <w:tcPr>
            <w:tcW w:w="4267" w:type="dxa"/>
          </w:tcPr>
          <w:p w14:paraId="6A6AC61A" w14:textId="77777777" w:rsidR="006C4239" w:rsidRPr="006A1E11" w:rsidRDefault="006C4239" w:rsidP="006A1E11">
            <w:pPr>
              <w:ind w:left="1980"/>
              <w:jc w:val="both"/>
              <w:outlineLvl w:val="1"/>
            </w:pPr>
          </w:p>
        </w:tc>
      </w:tr>
      <w:tr w:rsidR="006C4239" w:rsidRPr="00D51AE5" w14:paraId="750358E5" w14:textId="5811CADC" w:rsidTr="007639A7">
        <w:tc>
          <w:tcPr>
            <w:tcW w:w="6044" w:type="dxa"/>
          </w:tcPr>
          <w:p w14:paraId="73328ACA" w14:textId="77777777" w:rsidR="006C4239" w:rsidRPr="00D51AE5" w:rsidRDefault="006C4239" w:rsidP="006C4239">
            <w:pPr>
              <w:pStyle w:val="ListParagraph"/>
              <w:numPr>
                <w:ilvl w:val="2"/>
                <w:numId w:val="60"/>
              </w:numPr>
              <w:ind w:left="1985" w:hanging="567"/>
              <w:jc w:val="both"/>
              <w:outlineLvl w:val="1"/>
            </w:pPr>
            <w:r w:rsidRPr="00D51AE5">
              <w:t>At any stage of the RE Contract, upon findings of any of the grounds for RE Contract termination as stipulated therein.</w:t>
            </w:r>
          </w:p>
        </w:tc>
        <w:tc>
          <w:tcPr>
            <w:tcW w:w="3590" w:type="dxa"/>
          </w:tcPr>
          <w:p w14:paraId="1011B096" w14:textId="77777777" w:rsidR="006C4239" w:rsidRPr="006A1E11" w:rsidRDefault="006C4239" w:rsidP="006A1E11">
            <w:pPr>
              <w:ind w:left="1980"/>
              <w:jc w:val="both"/>
              <w:outlineLvl w:val="1"/>
            </w:pPr>
          </w:p>
        </w:tc>
        <w:tc>
          <w:tcPr>
            <w:tcW w:w="4267" w:type="dxa"/>
          </w:tcPr>
          <w:p w14:paraId="3DA04A2A" w14:textId="77777777" w:rsidR="006C4239" w:rsidRPr="006A1E11" w:rsidRDefault="006C4239" w:rsidP="006A1E11">
            <w:pPr>
              <w:ind w:left="1980"/>
              <w:jc w:val="both"/>
              <w:outlineLvl w:val="1"/>
            </w:pPr>
          </w:p>
        </w:tc>
      </w:tr>
      <w:tr w:rsidR="006C4239" w:rsidRPr="00D51AE5" w14:paraId="32F70FEF" w14:textId="1FDC916A" w:rsidTr="007639A7">
        <w:tc>
          <w:tcPr>
            <w:tcW w:w="6044" w:type="dxa"/>
          </w:tcPr>
          <w:p w14:paraId="18A9538D" w14:textId="77777777" w:rsidR="006C4239" w:rsidRPr="00D51AE5" w:rsidRDefault="006C4239" w:rsidP="006C4239">
            <w:pPr>
              <w:jc w:val="both"/>
              <w:rPr>
                <w:rFonts w:ascii="Arial" w:hAnsi="Arial" w:cs="Arial"/>
              </w:rPr>
            </w:pPr>
            <w:r w:rsidRPr="00D51AE5">
              <w:rPr>
                <w:rFonts w:ascii="Arial" w:hAnsi="Arial" w:cs="Arial"/>
              </w:rPr>
              <w:t>The failure of the DOE to adhere to the periods provided above shall not be construed as a waiver of its power to evaluate and recommend the termination of RE Contracts at a later time.</w:t>
            </w:r>
          </w:p>
        </w:tc>
        <w:tc>
          <w:tcPr>
            <w:tcW w:w="3590" w:type="dxa"/>
          </w:tcPr>
          <w:p w14:paraId="178656A7" w14:textId="77777777" w:rsidR="006C4239" w:rsidRPr="006A1E11" w:rsidRDefault="006C4239" w:rsidP="006A1E11">
            <w:pPr>
              <w:ind w:left="360"/>
              <w:jc w:val="both"/>
            </w:pPr>
          </w:p>
        </w:tc>
        <w:tc>
          <w:tcPr>
            <w:tcW w:w="4267" w:type="dxa"/>
          </w:tcPr>
          <w:p w14:paraId="6BC33F9C" w14:textId="77777777" w:rsidR="006C4239" w:rsidRPr="006A1E11" w:rsidRDefault="006C4239" w:rsidP="006A1E11">
            <w:pPr>
              <w:ind w:left="360"/>
              <w:jc w:val="both"/>
            </w:pPr>
          </w:p>
        </w:tc>
      </w:tr>
      <w:tr w:rsidR="006C4239" w:rsidRPr="00D51AE5" w14:paraId="254424B7" w14:textId="518E9735" w:rsidTr="007639A7">
        <w:tc>
          <w:tcPr>
            <w:tcW w:w="6044" w:type="dxa"/>
          </w:tcPr>
          <w:p w14:paraId="5B1A9147" w14:textId="77777777" w:rsidR="006C4239" w:rsidRPr="00D51AE5" w:rsidRDefault="006C4239" w:rsidP="006C4239">
            <w:pPr>
              <w:pStyle w:val="ListParagraph"/>
              <w:numPr>
                <w:ilvl w:val="1"/>
                <w:numId w:val="60"/>
              </w:numPr>
              <w:ind w:left="709"/>
              <w:jc w:val="both"/>
            </w:pPr>
            <w:r w:rsidRPr="00D51AE5">
              <w:t>With respect to Sections 13.1.1, 13.1.4 and 13.1.5 of this Chapter, the concerned REMB Division shall prepare a letter, signed by the REMB Director, requiring the RE Developer to explain in writing why its RE Contract should not be terminated. The RE Developer shall be given a non-extendible period of thirty (30)</w:t>
            </w:r>
            <w:r w:rsidRPr="00D51AE5">
              <w:rPr>
                <w:strike/>
              </w:rPr>
              <w:t xml:space="preserve"> </w:t>
            </w:r>
            <w:r w:rsidRPr="00D51AE5">
              <w:t>days to submit its explanation, which shall be accompanied by supporting documents.</w:t>
            </w:r>
          </w:p>
        </w:tc>
        <w:tc>
          <w:tcPr>
            <w:tcW w:w="3590" w:type="dxa"/>
          </w:tcPr>
          <w:p w14:paraId="2A44D999" w14:textId="77777777" w:rsidR="006C4239" w:rsidRPr="006A1E11" w:rsidRDefault="006C4239" w:rsidP="006A1E11">
            <w:pPr>
              <w:ind w:left="1080"/>
              <w:jc w:val="both"/>
            </w:pPr>
          </w:p>
        </w:tc>
        <w:tc>
          <w:tcPr>
            <w:tcW w:w="4267" w:type="dxa"/>
          </w:tcPr>
          <w:p w14:paraId="664B9A41" w14:textId="77777777" w:rsidR="006C4239" w:rsidRPr="006A1E11" w:rsidRDefault="006C4239" w:rsidP="006A1E11">
            <w:pPr>
              <w:ind w:left="1080"/>
              <w:jc w:val="both"/>
            </w:pPr>
          </w:p>
        </w:tc>
      </w:tr>
      <w:tr w:rsidR="006C4239" w:rsidRPr="00D51AE5" w14:paraId="43BFD4CE" w14:textId="09E726AE" w:rsidTr="007639A7">
        <w:tc>
          <w:tcPr>
            <w:tcW w:w="6044" w:type="dxa"/>
          </w:tcPr>
          <w:p w14:paraId="08C9E0C0" w14:textId="77777777" w:rsidR="006C4239" w:rsidRPr="00D51AE5" w:rsidRDefault="006C4239" w:rsidP="006C4239">
            <w:pPr>
              <w:pStyle w:val="ListParagraph"/>
              <w:numPr>
                <w:ilvl w:val="1"/>
                <w:numId w:val="60"/>
              </w:numPr>
              <w:ind w:left="709"/>
              <w:jc w:val="both"/>
            </w:pPr>
            <w:r w:rsidRPr="00D51AE5">
              <w:t>No later than twenty (20) days from its receipt of the RE Developer’s written explanation, the concerned REMB Division shall submit its findings and recommendation to the REMB Director.</w:t>
            </w:r>
          </w:p>
        </w:tc>
        <w:tc>
          <w:tcPr>
            <w:tcW w:w="3590" w:type="dxa"/>
          </w:tcPr>
          <w:p w14:paraId="76B42DB9" w14:textId="77777777" w:rsidR="006C4239" w:rsidRPr="006A1E11" w:rsidRDefault="006C4239" w:rsidP="006A1E11">
            <w:pPr>
              <w:ind w:left="1080"/>
              <w:jc w:val="both"/>
            </w:pPr>
          </w:p>
        </w:tc>
        <w:tc>
          <w:tcPr>
            <w:tcW w:w="4267" w:type="dxa"/>
          </w:tcPr>
          <w:p w14:paraId="03C388C7" w14:textId="77777777" w:rsidR="006C4239" w:rsidRPr="006A1E11" w:rsidRDefault="006C4239" w:rsidP="006A1E11">
            <w:pPr>
              <w:ind w:left="1080"/>
              <w:jc w:val="both"/>
            </w:pPr>
          </w:p>
        </w:tc>
      </w:tr>
      <w:tr w:rsidR="006C4239" w:rsidRPr="00D51AE5" w14:paraId="4D895A5A" w14:textId="56EFCB97" w:rsidTr="007639A7">
        <w:tc>
          <w:tcPr>
            <w:tcW w:w="6044" w:type="dxa"/>
          </w:tcPr>
          <w:p w14:paraId="0AD94DC6" w14:textId="77777777" w:rsidR="006C4239" w:rsidRPr="00D51AE5" w:rsidRDefault="006C4239" w:rsidP="006C4239">
            <w:pPr>
              <w:pStyle w:val="ListParagraph"/>
              <w:numPr>
                <w:ilvl w:val="1"/>
                <w:numId w:val="60"/>
              </w:numPr>
              <w:ind w:left="709"/>
              <w:jc w:val="both"/>
            </w:pPr>
            <w:r w:rsidRPr="00D51AE5">
              <w:t>Within three (3) days from receipt of the findings and/or recommendation, the REMB Director shall act upon the same and recommend a course of action to the DOE Secretary, through its Supervising Assistant Secretary and Undersecretary.</w:t>
            </w:r>
          </w:p>
        </w:tc>
        <w:tc>
          <w:tcPr>
            <w:tcW w:w="3590" w:type="dxa"/>
          </w:tcPr>
          <w:p w14:paraId="68AEF245" w14:textId="77777777" w:rsidR="006C4239" w:rsidRPr="006A1E11" w:rsidRDefault="006C4239" w:rsidP="006A1E11">
            <w:pPr>
              <w:ind w:left="1080"/>
              <w:jc w:val="both"/>
            </w:pPr>
          </w:p>
        </w:tc>
        <w:tc>
          <w:tcPr>
            <w:tcW w:w="4267" w:type="dxa"/>
          </w:tcPr>
          <w:p w14:paraId="4862337A" w14:textId="77777777" w:rsidR="006C4239" w:rsidRPr="006A1E11" w:rsidRDefault="006C4239" w:rsidP="006A1E11">
            <w:pPr>
              <w:ind w:left="1080"/>
              <w:jc w:val="both"/>
            </w:pPr>
          </w:p>
        </w:tc>
      </w:tr>
      <w:tr w:rsidR="006C4239" w:rsidRPr="00D51AE5" w14:paraId="5D5D3332" w14:textId="2F45C555" w:rsidTr="007639A7">
        <w:tc>
          <w:tcPr>
            <w:tcW w:w="6044" w:type="dxa"/>
          </w:tcPr>
          <w:p w14:paraId="3A655AE7" w14:textId="77777777" w:rsidR="006C4239" w:rsidRPr="00D51AE5" w:rsidRDefault="006C4239" w:rsidP="006C4239">
            <w:pPr>
              <w:pStyle w:val="ListParagraph"/>
              <w:numPr>
                <w:ilvl w:val="1"/>
                <w:numId w:val="60"/>
              </w:numPr>
              <w:ind w:left="709"/>
              <w:jc w:val="both"/>
            </w:pPr>
            <w:r w:rsidRPr="00D51AE5">
              <w:t>In case the DOE Secretary approves the REMB Director’s recommendation, the RE Developer shall be notified in writing of the termination of its RE Contract. The concerned REMB Division shall inform the TSMD, ITMS, and IPO of such fact.</w:t>
            </w:r>
          </w:p>
        </w:tc>
        <w:tc>
          <w:tcPr>
            <w:tcW w:w="3590" w:type="dxa"/>
          </w:tcPr>
          <w:p w14:paraId="4F2B3E4A" w14:textId="77777777" w:rsidR="006C4239" w:rsidRPr="006A1E11" w:rsidRDefault="006C4239" w:rsidP="006A1E11">
            <w:pPr>
              <w:ind w:left="1080"/>
              <w:jc w:val="both"/>
            </w:pPr>
          </w:p>
        </w:tc>
        <w:tc>
          <w:tcPr>
            <w:tcW w:w="4267" w:type="dxa"/>
          </w:tcPr>
          <w:p w14:paraId="22B01955" w14:textId="77777777" w:rsidR="006C4239" w:rsidRPr="006A1E11" w:rsidRDefault="006C4239" w:rsidP="006A1E11">
            <w:pPr>
              <w:ind w:left="1080"/>
              <w:jc w:val="both"/>
            </w:pPr>
          </w:p>
        </w:tc>
      </w:tr>
      <w:tr w:rsidR="006C4239" w:rsidRPr="00D51AE5" w14:paraId="619A7493" w14:textId="16E94602" w:rsidTr="007639A7">
        <w:tc>
          <w:tcPr>
            <w:tcW w:w="6044" w:type="dxa"/>
          </w:tcPr>
          <w:p w14:paraId="141415F1" w14:textId="0D8E1007" w:rsidR="006C4239" w:rsidRPr="00D51AE5" w:rsidRDefault="006C4239" w:rsidP="006C4239">
            <w:pPr>
              <w:pStyle w:val="ListParagraph"/>
              <w:numPr>
                <w:ilvl w:val="1"/>
                <w:numId w:val="60"/>
              </w:numPr>
              <w:ind w:left="709"/>
              <w:jc w:val="both"/>
            </w:pPr>
            <w:r w:rsidRPr="00D51AE5">
              <w:t>Subject to the conditions under this Section, areas covered by terminated RE Contracts shall be declared by the DOE open for development, specifying the mode of awarding of the RE Contract, which, if the area is determined as within a PDA, RE Contract Applications shall be through OCSP, respectively, as provided herein. Otherwise, the area shall be available to all interested parties for RE resource development under Direct Application, and only on a first- come first-served basis.</w:t>
            </w:r>
          </w:p>
        </w:tc>
        <w:tc>
          <w:tcPr>
            <w:tcW w:w="3590" w:type="dxa"/>
          </w:tcPr>
          <w:p w14:paraId="109C1344" w14:textId="77777777" w:rsidR="006C4239" w:rsidRPr="006A1E11" w:rsidRDefault="006C4239" w:rsidP="006A1E11">
            <w:pPr>
              <w:ind w:left="1080"/>
              <w:jc w:val="both"/>
            </w:pPr>
          </w:p>
        </w:tc>
        <w:tc>
          <w:tcPr>
            <w:tcW w:w="4267" w:type="dxa"/>
          </w:tcPr>
          <w:p w14:paraId="0E2F79BF" w14:textId="77777777" w:rsidR="006C4239" w:rsidRPr="006A1E11" w:rsidRDefault="006C4239" w:rsidP="006A1E11">
            <w:pPr>
              <w:ind w:left="1080"/>
              <w:jc w:val="both"/>
            </w:pPr>
          </w:p>
        </w:tc>
      </w:tr>
      <w:tr w:rsidR="006C4239" w:rsidRPr="00D51AE5" w14:paraId="410BB1D4" w14:textId="2A8AB3B9" w:rsidTr="007639A7">
        <w:tc>
          <w:tcPr>
            <w:tcW w:w="6044" w:type="dxa"/>
          </w:tcPr>
          <w:p w14:paraId="272E94B5" w14:textId="77777777" w:rsidR="006C4239" w:rsidRPr="00D51AE5" w:rsidRDefault="006C4239" w:rsidP="006C4239">
            <w:pPr>
              <w:jc w:val="both"/>
              <w:outlineLvl w:val="1"/>
              <w:rPr>
                <w:rFonts w:ascii="Arial" w:hAnsi="Arial" w:cs="Arial"/>
                <w:i/>
                <w:iCs/>
              </w:rPr>
            </w:pPr>
            <w:r w:rsidRPr="00D51AE5">
              <w:rPr>
                <w:rFonts w:ascii="Arial" w:hAnsi="Arial" w:cs="Arial"/>
                <w:b/>
                <w:bCs/>
              </w:rPr>
              <w:t xml:space="preserve">Section 14. Request for Reconsideration. </w:t>
            </w:r>
            <w:r w:rsidRPr="00D51AE5">
              <w:rPr>
                <w:rFonts w:ascii="Arial" w:hAnsi="Arial" w:cs="Arial"/>
              </w:rPr>
              <w:t>An RE Developer whose RE Contract was terminated may request for the reconsideration of the same. The request shall be made in writing, addressed to the REMB Director, and filed within ten (10) days from the RE Developer’s receipt of the notice of termination. The REMB Director shall evaluate the merits of the request for reconsideration and endorse such recommendations to the DOE Secretary, through the REMB Supervising Assistant Secretary and Undersecretary.</w:t>
            </w:r>
          </w:p>
        </w:tc>
        <w:tc>
          <w:tcPr>
            <w:tcW w:w="3590" w:type="dxa"/>
          </w:tcPr>
          <w:p w14:paraId="374C1543" w14:textId="77777777" w:rsidR="006C4239" w:rsidRPr="006A1E11" w:rsidRDefault="006C4239" w:rsidP="006A1E11">
            <w:pPr>
              <w:ind w:left="360"/>
              <w:jc w:val="both"/>
              <w:outlineLvl w:val="1"/>
              <w:rPr>
                <w:b/>
                <w:bCs/>
              </w:rPr>
            </w:pPr>
          </w:p>
        </w:tc>
        <w:tc>
          <w:tcPr>
            <w:tcW w:w="4267" w:type="dxa"/>
          </w:tcPr>
          <w:p w14:paraId="261D8033" w14:textId="77777777" w:rsidR="006C4239" w:rsidRPr="006A1E11" w:rsidRDefault="006C4239" w:rsidP="006A1E11">
            <w:pPr>
              <w:ind w:left="360"/>
              <w:jc w:val="both"/>
              <w:outlineLvl w:val="1"/>
              <w:rPr>
                <w:b/>
                <w:bCs/>
              </w:rPr>
            </w:pPr>
          </w:p>
        </w:tc>
      </w:tr>
      <w:tr w:rsidR="006C4239" w:rsidRPr="00D51AE5" w14:paraId="5E3EB062" w14:textId="4B2687E1" w:rsidTr="007639A7">
        <w:tc>
          <w:tcPr>
            <w:tcW w:w="6044" w:type="dxa"/>
          </w:tcPr>
          <w:p w14:paraId="78B1F631" w14:textId="77777777" w:rsidR="006C4239" w:rsidRPr="00D51AE5" w:rsidRDefault="006C4239" w:rsidP="006C4239">
            <w:pPr>
              <w:pStyle w:val="ListParagraph"/>
              <w:numPr>
                <w:ilvl w:val="1"/>
                <w:numId w:val="61"/>
              </w:numPr>
              <w:ind w:left="709" w:hanging="567"/>
              <w:jc w:val="both"/>
            </w:pPr>
            <w:r w:rsidRPr="00D51AE5">
              <w:rPr>
                <w:b/>
                <w:bCs/>
              </w:rPr>
              <w:t>Procedures for Processing of Request for Reconsideration.</w:t>
            </w:r>
            <w:r w:rsidRPr="00D51AE5">
              <w:t xml:space="preserve"> Request for reconsideration shall be processed based on the following procedures:</w:t>
            </w:r>
          </w:p>
        </w:tc>
        <w:tc>
          <w:tcPr>
            <w:tcW w:w="3590" w:type="dxa"/>
          </w:tcPr>
          <w:p w14:paraId="2944DA8D" w14:textId="77777777" w:rsidR="006C4239" w:rsidRPr="006A1E11" w:rsidRDefault="006C4239" w:rsidP="006A1E11">
            <w:pPr>
              <w:ind w:left="1080"/>
              <w:jc w:val="both"/>
              <w:rPr>
                <w:b/>
                <w:bCs/>
              </w:rPr>
            </w:pPr>
          </w:p>
        </w:tc>
        <w:tc>
          <w:tcPr>
            <w:tcW w:w="4267" w:type="dxa"/>
          </w:tcPr>
          <w:p w14:paraId="2037A832" w14:textId="77777777" w:rsidR="006C4239" w:rsidRPr="006A1E11" w:rsidRDefault="006C4239" w:rsidP="006A1E11">
            <w:pPr>
              <w:ind w:left="1080"/>
              <w:jc w:val="both"/>
              <w:rPr>
                <w:b/>
                <w:bCs/>
              </w:rPr>
            </w:pPr>
          </w:p>
        </w:tc>
      </w:tr>
      <w:tr w:rsidR="006C4239" w:rsidRPr="00D51AE5" w14:paraId="228E2ADD" w14:textId="66C779EB" w:rsidTr="007639A7">
        <w:tc>
          <w:tcPr>
            <w:tcW w:w="6044" w:type="dxa"/>
          </w:tcPr>
          <w:p w14:paraId="26017FBD" w14:textId="77777777" w:rsidR="006C4239" w:rsidRPr="00D51AE5" w:rsidRDefault="006C4239" w:rsidP="006C4239">
            <w:pPr>
              <w:pStyle w:val="ListParagraph"/>
              <w:numPr>
                <w:ilvl w:val="2"/>
                <w:numId w:val="61"/>
              </w:numPr>
              <w:ind w:left="1985" w:hanging="567"/>
              <w:jc w:val="both"/>
            </w:pPr>
            <w:r w:rsidRPr="00D51AE5">
              <w:t>The RE Developer shall submit through the EVOSS System the complete documents, and the concerned REMB Division shall check the completeness and consistency of the submission within three (3) days.</w:t>
            </w:r>
          </w:p>
        </w:tc>
        <w:tc>
          <w:tcPr>
            <w:tcW w:w="3590" w:type="dxa"/>
          </w:tcPr>
          <w:p w14:paraId="087DD256" w14:textId="77777777" w:rsidR="006C4239" w:rsidRPr="006A1E11" w:rsidRDefault="006C4239" w:rsidP="006A1E11">
            <w:pPr>
              <w:ind w:left="1980"/>
              <w:jc w:val="both"/>
            </w:pPr>
          </w:p>
        </w:tc>
        <w:tc>
          <w:tcPr>
            <w:tcW w:w="4267" w:type="dxa"/>
          </w:tcPr>
          <w:p w14:paraId="0D9D15B9" w14:textId="77777777" w:rsidR="006C4239" w:rsidRPr="006A1E11" w:rsidRDefault="006C4239" w:rsidP="006A1E11">
            <w:pPr>
              <w:ind w:left="1980"/>
              <w:jc w:val="both"/>
            </w:pPr>
          </w:p>
        </w:tc>
      </w:tr>
      <w:tr w:rsidR="006C4239" w:rsidRPr="00D51AE5" w14:paraId="344233D7" w14:textId="184F64A1" w:rsidTr="007639A7">
        <w:tc>
          <w:tcPr>
            <w:tcW w:w="6044" w:type="dxa"/>
          </w:tcPr>
          <w:p w14:paraId="430F126A" w14:textId="77777777" w:rsidR="006C4239" w:rsidRPr="00D51AE5" w:rsidRDefault="006C4239" w:rsidP="006C4239">
            <w:pPr>
              <w:pStyle w:val="ListParagraph"/>
              <w:numPr>
                <w:ilvl w:val="2"/>
                <w:numId w:val="61"/>
              </w:numPr>
              <w:ind w:left="1985" w:hanging="567"/>
              <w:jc w:val="both"/>
            </w:pPr>
            <w:r w:rsidRPr="00D51AE5">
              <w:t>The REMB, LS, FS, ITMS shall conduct simultaneous technical, legal, financial evaluations and area verification within ten (10) days.</w:t>
            </w:r>
          </w:p>
        </w:tc>
        <w:tc>
          <w:tcPr>
            <w:tcW w:w="3590" w:type="dxa"/>
          </w:tcPr>
          <w:p w14:paraId="6B94F5F0" w14:textId="77777777" w:rsidR="006C4239" w:rsidRPr="006A1E11" w:rsidRDefault="006C4239" w:rsidP="006A1E11">
            <w:pPr>
              <w:ind w:left="1980"/>
              <w:jc w:val="both"/>
            </w:pPr>
          </w:p>
        </w:tc>
        <w:tc>
          <w:tcPr>
            <w:tcW w:w="4267" w:type="dxa"/>
          </w:tcPr>
          <w:p w14:paraId="38D4402B" w14:textId="77777777" w:rsidR="006C4239" w:rsidRPr="006A1E11" w:rsidRDefault="006C4239" w:rsidP="006A1E11">
            <w:pPr>
              <w:ind w:left="1980"/>
              <w:jc w:val="both"/>
            </w:pPr>
          </w:p>
        </w:tc>
      </w:tr>
      <w:tr w:rsidR="006C4239" w:rsidRPr="00D51AE5" w14:paraId="1F4452C3" w14:textId="5F692CEB" w:rsidTr="007639A7">
        <w:tc>
          <w:tcPr>
            <w:tcW w:w="6044" w:type="dxa"/>
          </w:tcPr>
          <w:p w14:paraId="6ACB95F2" w14:textId="77777777" w:rsidR="006C4239" w:rsidRPr="00D51AE5" w:rsidRDefault="006C4239" w:rsidP="006C4239">
            <w:pPr>
              <w:pStyle w:val="ListParagraph"/>
              <w:numPr>
                <w:ilvl w:val="2"/>
                <w:numId w:val="61"/>
              </w:numPr>
              <w:ind w:left="1985" w:hanging="567"/>
              <w:jc w:val="both"/>
            </w:pPr>
            <w:r w:rsidRPr="00D51AE5">
              <w:t>The concerned REMB Division shall consolidate all the evaluation results and endorse, through the REMB Director, the recommendation for approval of LS within three (3) days.</w:t>
            </w:r>
          </w:p>
        </w:tc>
        <w:tc>
          <w:tcPr>
            <w:tcW w:w="3590" w:type="dxa"/>
          </w:tcPr>
          <w:p w14:paraId="3539FD57" w14:textId="77777777" w:rsidR="006C4239" w:rsidRPr="006A1E11" w:rsidRDefault="006C4239" w:rsidP="006A1E11">
            <w:pPr>
              <w:ind w:left="1980"/>
              <w:jc w:val="both"/>
            </w:pPr>
          </w:p>
        </w:tc>
        <w:tc>
          <w:tcPr>
            <w:tcW w:w="4267" w:type="dxa"/>
          </w:tcPr>
          <w:p w14:paraId="60ED0C89" w14:textId="77777777" w:rsidR="006C4239" w:rsidRPr="006A1E11" w:rsidRDefault="006C4239" w:rsidP="006A1E11">
            <w:pPr>
              <w:ind w:left="1980"/>
              <w:jc w:val="both"/>
            </w:pPr>
          </w:p>
        </w:tc>
      </w:tr>
      <w:tr w:rsidR="006C4239" w:rsidRPr="00D51AE5" w14:paraId="5F337FF5" w14:textId="3AF3DBD5" w:rsidTr="007639A7">
        <w:tc>
          <w:tcPr>
            <w:tcW w:w="6044" w:type="dxa"/>
          </w:tcPr>
          <w:p w14:paraId="1B27C168" w14:textId="77777777" w:rsidR="006C4239" w:rsidRPr="00D51AE5" w:rsidRDefault="006C4239" w:rsidP="006C4239">
            <w:pPr>
              <w:pStyle w:val="ListParagraph"/>
              <w:numPr>
                <w:ilvl w:val="2"/>
                <w:numId w:val="61"/>
              </w:numPr>
              <w:ind w:left="1985" w:hanging="567"/>
              <w:jc w:val="both"/>
            </w:pPr>
            <w:r w:rsidRPr="00D51AE5">
              <w:t>Qualified applications shall be endorsed by the REMB to the Supervising Assistant Secretary and Undersecretary, which shall be acted upon within six (6) days.</w:t>
            </w:r>
          </w:p>
        </w:tc>
        <w:tc>
          <w:tcPr>
            <w:tcW w:w="3590" w:type="dxa"/>
          </w:tcPr>
          <w:p w14:paraId="0493BE67" w14:textId="77777777" w:rsidR="006C4239" w:rsidRPr="006A1E11" w:rsidRDefault="006C4239" w:rsidP="006A1E11">
            <w:pPr>
              <w:ind w:left="1980"/>
              <w:jc w:val="both"/>
            </w:pPr>
          </w:p>
        </w:tc>
        <w:tc>
          <w:tcPr>
            <w:tcW w:w="4267" w:type="dxa"/>
          </w:tcPr>
          <w:p w14:paraId="38454B14" w14:textId="77777777" w:rsidR="006C4239" w:rsidRPr="006A1E11" w:rsidRDefault="006C4239" w:rsidP="006A1E11">
            <w:pPr>
              <w:ind w:left="1980"/>
              <w:jc w:val="both"/>
            </w:pPr>
          </w:p>
        </w:tc>
      </w:tr>
      <w:tr w:rsidR="006C4239" w:rsidRPr="00D51AE5" w14:paraId="5D447131" w14:textId="111D67F6" w:rsidTr="007639A7">
        <w:tc>
          <w:tcPr>
            <w:tcW w:w="6044" w:type="dxa"/>
          </w:tcPr>
          <w:p w14:paraId="55C0B74A" w14:textId="77777777" w:rsidR="006C4239" w:rsidRPr="00D51AE5" w:rsidRDefault="006C4239" w:rsidP="006C4239">
            <w:pPr>
              <w:pStyle w:val="ListParagraph"/>
              <w:numPr>
                <w:ilvl w:val="2"/>
                <w:numId w:val="61"/>
              </w:numPr>
              <w:ind w:left="1985" w:hanging="567"/>
              <w:jc w:val="both"/>
            </w:pPr>
            <w:r w:rsidRPr="00D51AE5">
              <w:t>Upon the concurrence of the Assistant and Undersecretary, REMB shall endorse the recommendation to the DOE Secretary. The DOE Secretary shall act on the documents within five (5) days from receipt thereof.</w:t>
            </w:r>
          </w:p>
        </w:tc>
        <w:tc>
          <w:tcPr>
            <w:tcW w:w="3590" w:type="dxa"/>
          </w:tcPr>
          <w:p w14:paraId="5468D95D" w14:textId="77777777" w:rsidR="006C4239" w:rsidRPr="006A1E11" w:rsidRDefault="006C4239" w:rsidP="006A1E11">
            <w:pPr>
              <w:ind w:left="1980"/>
              <w:jc w:val="both"/>
            </w:pPr>
          </w:p>
        </w:tc>
        <w:tc>
          <w:tcPr>
            <w:tcW w:w="4267" w:type="dxa"/>
          </w:tcPr>
          <w:p w14:paraId="3029F566" w14:textId="77777777" w:rsidR="006C4239" w:rsidRPr="006A1E11" w:rsidRDefault="006C4239" w:rsidP="006A1E11">
            <w:pPr>
              <w:ind w:left="1980"/>
              <w:jc w:val="both"/>
            </w:pPr>
          </w:p>
        </w:tc>
      </w:tr>
      <w:tr w:rsidR="006C4239" w:rsidRPr="00D51AE5" w14:paraId="022FE826" w14:textId="2B24F562" w:rsidTr="007639A7">
        <w:tc>
          <w:tcPr>
            <w:tcW w:w="6044" w:type="dxa"/>
          </w:tcPr>
          <w:p w14:paraId="25B74071" w14:textId="77777777" w:rsidR="006C4239" w:rsidRPr="00D51AE5" w:rsidRDefault="006C4239" w:rsidP="006C4239">
            <w:pPr>
              <w:pStyle w:val="ListParagraph"/>
              <w:numPr>
                <w:ilvl w:val="2"/>
                <w:numId w:val="61"/>
              </w:numPr>
              <w:ind w:left="1985" w:hanging="567"/>
              <w:jc w:val="both"/>
            </w:pPr>
            <w:r w:rsidRPr="00D51AE5">
              <w:t>The concerned REMB Division, through the EVOSS System, shall upload a copy of the letter approving or denying the request for reconsideration and notify the RE Developer to pick-up a copy of said document.</w:t>
            </w:r>
          </w:p>
        </w:tc>
        <w:tc>
          <w:tcPr>
            <w:tcW w:w="3590" w:type="dxa"/>
          </w:tcPr>
          <w:p w14:paraId="21E28BCF" w14:textId="77777777" w:rsidR="006C4239" w:rsidRPr="006A1E11" w:rsidRDefault="006C4239" w:rsidP="006A1E11">
            <w:pPr>
              <w:ind w:left="1980"/>
              <w:jc w:val="both"/>
            </w:pPr>
          </w:p>
        </w:tc>
        <w:tc>
          <w:tcPr>
            <w:tcW w:w="4267" w:type="dxa"/>
          </w:tcPr>
          <w:p w14:paraId="43E6784F" w14:textId="77777777" w:rsidR="006C4239" w:rsidRPr="006A1E11" w:rsidRDefault="006C4239" w:rsidP="006A1E11">
            <w:pPr>
              <w:ind w:left="1980"/>
              <w:jc w:val="both"/>
            </w:pPr>
          </w:p>
        </w:tc>
      </w:tr>
      <w:tr w:rsidR="006C4239" w:rsidRPr="00D51AE5" w14:paraId="5C0519AC" w14:textId="0ED566D1" w:rsidTr="007639A7">
        <w:tc>
          <w:tcPr>
            <w:tcW w:w="6044" w:type="dxa"/>
          </w:tcPr>
          <w:p w14:paraId="02E9BD05" w14:textId="77777777" w:rsidR="006C4239" w:rsidRPr="00D51AE5" w:rsidRDefault="006C4239" w:rsidP="006C4239">
            <w:pPr>
              <w:pStyle w:val="NoSpacing"/>
              <w:contextualSpacing/>
              <w:jc w:val="both"/>
              <w:rPr>
                <w:b/>
                <w:bCs/>
              </w:rPr>
            </w:pPr>
            <w:r w:rsidRPr="00D51AE5">
              <w:rPr>
                <w:b/>
                <w:bCs/>
              </w:rPr>
              <w:t>Section 15. Registration</w:t>
            </w:r>
            <w:r w:rsidRPr="00D51AE5">
              <w:rPr>
                <w:b/>
                <w:bCs/>
                <w:spacing w:val="-3"/>
              </w:rPr>
              <w:t xml:space="preserve"> </w:t>
            </w:r>
            <w:r w:rsidRPr="00D51AE5">
              <w:rPr>
                <w:b/>
                <w:bCs/>
              </w:rPr>
              <w:t>of</w:t>
            </w:r>
            <w:r w:rsidRPr="00D51AE5">
              <w:rPr>
                <w:b/>
                <w:bCs/>
                <w:spacing w:val="-3"/>
              </w:rPr>
              <w:t xml:space="preserve"> </w:t>
            </w:r>
            <w:r w:rsidRPr="00D51AE5">
              <w:rPr>
                <w:b/>
                <w:bCs/>
              </w:rPr>
              <w:t>RE Projects</w:t>
            </w:r>
            <w:r w:rsidRPr="00D51AE5">
              <w:rPr>
                <w:b/>
                <w:bCs/>
                <w:spacing w:val="-8"/>
              </w:rPr>
              <w:t xml:space="preserve"> </w:t>
            </w:r>
            <w:r w:rsidRPr="00D51AE5">
              <w:rPr>
                <w:b/>
                <w:bCs/>
              </w:rPr>
              <w:t>for</w:t>
            </w:r>
            <w:r w:rsidRPr="00D51AE5">
              <w:rPr>
                <w:b/>
                <w:bCs/>
                <w:spacing w:val="-6"/>
              </w:rPr>
              <w:t xml:space="preserve"> O</w:t>
            </w:r>
            <w:r w:rsidRPr="00D51AE5">
              <w:rPr>
                <w:b/>
                <w:bCs/>
              </w:rPr>
              <w:t>wn-use</w:t>
            </w:r>
            <w:r w:rsidRPr="00D51AE5">
              <w:rPr>
                <w:b/>
                <w:bCs/>
                <w:spacing w:val="-4"/>
              </w:rPr>
              <w:t xml:space="preserve"> </w:t>
            </w:r>
            <w:r w:rsidRPr="00D51AE5">
              <w:rPr>
                <w:b/>
                <w:bCs/>
              </w:rPr>
              <w:t>and/or</w:t>
            </w:r>
            <w:r w:rsidRPr="00D51AE5">
              <w:rPr>
                <w:b/>
                <w:bCs/>
                <w:spacing w:val="-6"/>
              </w:rPr>
              <w:t xml:space="preserve"> </w:t>
            </w:r>
            <w:r w:rsidRPr="00D51AE5">
              <w:rPr>
                <w:b/>
                <w:bCs/>
              </w:rPr>
              <w:t>Non- commercial Operations</w:t>
            </w:r>
          </w:p>
        </w:tc>
        <w:tc>
          <w:tcPr>
            <w:tcW w:w="3590" w:type="dxa"/>
          </w:tcPr>
          <w:p w14:paraId="5336062A" w14:textId="77777777" w:rsidR="006C4239" w:rsidRPr="00D51AE5" w:rsidRDefault="006C4239" w:rsidP="006A1E11">
            <w:pPr>
              <w:pStyle w:val="NoSpacing"/>
              <w:ind w:left="360"/>
              <w:contextualSpacing/>
              <w:jc w:val="both"/>
              <w:rPr>
                <w:b/>
                <w:bCs/>
              </w:rPr>
            </w:pPr>
          </w:p>
        </w:tc>
        <w:tc>
          <w:tcPr>
            <w:tcW w:w="4267" w:type="dxa"/>
          </w:tcPr>
          <w:p w14:paraId="2BD61487" w14:textId="77777777" w:rsidR="006C4239" w:rsidRPr="00D51AE5" w:rsidRDefault="006C4239" w:rsidP="006A1E11">
            <w:pPr>
              <w:pStyle w:val="NoSpacing"/>
              <w:ind w:left="360"/>
              <w:contextualSpacing/>
              <w:jc w:val="both"/>
              <w:rPr>
                <w:b/>
                <w:bCs/>
              </w:rPr>
            </w:pPr>
          </w:p>
        </w:tc>
      </w:tr>
      <w:tr w:rsidR="006C4239" w:rsidRPr="00D51AE5" w14:paraId="5F4E25E0" w14:textId="4668DA4E" w:rsidTr="007639A7">
        <w:tc>
          <w:tcPr>
            <w:tcW w:w="6044" w:type="dxa"/>
          </w:tcPr>
          <w:p w14:paraId="38B6FE7F" w14:textId="77777777" w:rsidR="006C4239" w:rsidRPr="00D51AE5" w:rsidRDefault="006C4239" w:rsidP="006C4239">
            <w:pPr>
              <w:contextualSpacing/>
              <w:jc w:val="center"/>
              <w:rPr>
                <w:rFonts w:ascii="Arial" w:hAnsi="Arial" w:cs="Arial"/>
                <w:i/>
              </w:rPr>
            </w:pPr>
            <w:r w:rsidRPr="00D51AE5">
              <w:rPr>
                <w:rFonts w:ascii="Arial" w:hAnsi="Arial" w:cs="Arial"/>
                <w:b/>
                <w:bCs/>
                <w:iCs/>
              </w:rPr>
              <w:t>CHAPTER VIII – WIND ENERGY RESOURCE</w:t>
            </w:r>
          </w:p>
        </w:tc>
        <w:tc>
          <w:tcPr>
            <w:tcW w:w="3590" w:type="dxa"/>
          </w:tcPr>
          <w:p w14:paraId="63000F1F" w14:textId="77777777" w:rsidR="006C4239" w:rsidRPr="006A1E11" w:rsidRDefault="006C4239" w:rsidP="006A1E11">
            <w:pPr>
              <w:ind w:left="360"/>
              <w:jc w:val="center"/>
              <w:rPr>
                <w:b/>
                <w:bCs/>
                <w:iCs/>
              </w:rPr>
            </w:pPr>
          </w:p>
        </w:tc>
        <w:tc>
          <w:tcPr>
            <w:tcW w:w="4267" w:type="dxa"/>
          </w:tcPr>
          <w:p w14:paraId="3F8BC28B" w14:textId="77777777" w:rsidR="006C4239" w:rsidRPr="006A1E11" w:rsidRDefault="006C4239" w:rsidP="006A1E11">
            <w:pPr>
              <w:ind w:left="360"/>
              <w:jc w:val="center"/>
              <w:rPr>
                <w:b/>
                <w:bCs/>
                <w:iCs/>
              </w:rPr>
            </w:pPr>
          </w:p>
        </w:tc>
      </w:tr>
      <w:tr w:rsidR="006C4239" w:rsidRPr="00D51AE5" w14:paraId="0387ED3A" w14:textId="0C58B1DE" w:rsidTr="007639A7">
        <w:tc>
          <w:tcPr>
            <w:tcW w:w="6044" w:type="dxa"/>
          </w:tcPr>
          <w:p w14:paraId="540FF71D" w14:textId="77777777" w:rsidR="006C4239" w:rsidRPr="00D51AE5" w:rsidRDefault="006C4239" w:rsidP="006C4239">
            <w:pPr>
              <w:pStyle w:val="BodyText"/>
              <w:contextualSpacing/>
              <w:jc w:val="both"/>
            </w:pPr>
          </w:p>
        </w:tc>
        <w:tc>
          <w:tcPr>
            <w:tcW w:w="3590" w:type="dxa"/>
          </w:tcPr>
          <w:p w14:paraId="2F98048C" w14:textId="77777777" w:rsidR="006C4239" w:rsidRPr="00D51AE5" w:rsidRDefault="006C4239" w:rsidP="006A1E11">
            <w:pPr>
              <w:pStyle w:val="BodyText"/>
              <w:ind w:left="360"/>
              <w:contextualSpacing/>
              <w:jc w:val="both"/>
            </w:pPr>
          </w:p>
        </w:tc>
        <w:tc>
          <w:tcPr>
            <w:tcW w:w="4267" w:type="dxa"/>
          </w:tcPr>
          <w:p w14:paraId="41AC4C8B" w14:textId="77777777" w:rsidR="006C4239" w:rsidRPr="00D51AE5" w:rsidRDefault="006C4239" w:rsidP="006A1E11">
            <w:pPr>
              <w:pStyle w:val="BodyText"/>
              <w:ind w:left="360"/>
              <w:contextualSpacing/>
              <w:jc w:val="both"/>
            </w:pPr>
          </w:p>
        </w:tc>
      </w:tr>
      <w:tr w:rsidR="006C4239" w:rsidRPr="00D51AE5" w14:paraId="13E0F978" w14:textId="746E994C" w:rsidTr="007639A7">
        <w:tc>
          <w:tcPr>
            <w:tcW w:w="6044" w:type="dxa"/>
          </w:tcPr>
          <w:p w14:paraId="10A48DCF" w14:textId="77777777" w:rsidR="006C4239" w:rsidRPr="00D51AE5" w:rsidRDefault="006C4239" w:rsidP="006C4239">
            <w:pPr>
              <w:pStyle w:val="NoSpacing"/>
              <w:contextualSpacing/>
              <w:jc w:val="center"/>
              <w:rPr>
                <w:b/>
                <w:bCs/>
              </w:rPr>
            </w:pPr>
            <w:r w:rsidRPr="00D51AE5">
              <w:rPr>
                <w:b/>
                <w:bCs/>
              </w:rPr>
              <w:t>CHAPTER IX – INCENTIVES</w:t>
            </w:r>
          </w:p>
        </w:tc>
        <w:tc>
          <w:tcPr>
            <w:tcW w:w="3590" w:type="dxa"/>
          </w:tcPr>
          <w:p w14:paraId="4FD9ACEB" w14:textId="77777777" w:rsidR="006C4239" w:rsidRPr="00D51AE5" w:rsidRDefault="006C4239" w:rsidP="006A1E11">
            <w:pPr>
              <w:pStyle w:val="NoSpacing"/>
              <w:ind w:left="360"/>
              <w:contextualSpacing/>
              <w:jc w:val="center"/>
              <w:rPr>
                <w:b/>
                <w:bCs/>
              </w:rPr>
            </w:pPr>
          </w:p>
        </w:tc>
        <w:tc>
          <w:tcPr>
            <w:tcW w:w="4267" w:type="dxa"/>
          </w:tcPr>
          <w:p w14:paraId="51FBE76D" w14:textId="77777777" w:rsidR="006C4239" w:rsidRPr="00D51AE5" w:rsidRDefault="006C4239" w:rsidP="006A1E11">
            <w:pPr>
              <w:pStyle w:val="NoSpacing"/>
              <w:ind w:left="360"/>
              <w:contextualSpacing/>
              <w:jc w:val="center"/>
              <w:rPr>
                <w:b/>
                <w:bCs/>
              </w:rPr>
            </w:pPr>
          </w:p>
        </w:tc>
      </w:tr>
      <w:tr w:rsidR="006C4239" w:rsidRPr="00D51AE5" w14:paraId="51ADB650" w14:textId="059020AB" w:rsidTr="007639A7">
        <w:tc>
          <w:tcPr>
            <w:tcW w:w="6044" w:type="dxa"/>
          </w:tcPr>
          <w:p w14:paraId="1AF8B112" w14:textId="77777777" w:rsidR="006C4239" w:rsidRPr="00D51AE5" w:rsidRDefault="006C4239" w:rsidP="006C4239">
            <w:pPr>
              <w:contextualSpacing/>
              <w:jc w:val="both"/>
              <w:outlineLvl w:val="1"/>
              <w:rPr>
                <w:rFonts w:ascii="Arial" w:hAnsi="Arial" w:cs="Arial"/>
              </w:rPr>
            </w:pPr>
            <w:r w:rsidRPr="00D51AE5">
              <w:rPr>
                <w:rFonts w:ascii="Arial" w:hAnsi="Arial" w:cs="Arial"/>
              </w:rPr>
              <w:tab/>
            </w:r>
            <w:r w:rsidRPr="00D51AE5">
              <w:rPr>
                <w:rFonts w:ascii="Arial" w:hAnsi="Arial" w:cs="Arial"/>
                <w:b/>
                <w:bCs/>
              </w:rPr>
              <w:t xml:space="preserve">Section 1. Fiscal Incentives for Renewable Energy Projects and Activities. </w:t>
            </w:r>
            <w:r w:rsidRPr="00D51AE5">
              <w:rPr>
                <w:rFonts w:ascii="Arial" w:hAnsi="Arial" w:cs="Arial"/>
              </w:rPr>
              <w:t>DOE-certified existing and new RE Developers of RE facilities, including Hybrid Systems, in proportion to and to the extent of the RE component, for both Power and Non-Power Applications, shall be entitled to the following incentives under the RE Act:</w:t>
            </w:r>
          </w:p>
        </w:tc>
        <w:tc>
          <w:tcPr>
            <w:tcW w:w="3590" w:type="dxa"/>
          </w:tcPr>
          <w:p w14:paraId="7E02B2FE" w14:textId="77777777" w:rsidR="006C4239" w:rsidRPr="006A1E11" w:rsidRDefault="006C4239" w:rsidP="006A1E11">
            <w:pPr>
              <w:ind w:left="360"/>
              <w:jc w:val="both"/>
              <w:outlineLvl w:val="1"/>
            </w:pPr>
          </w:p>
        </w:tc>
        <w:tc>
          <w:tcPr>
            <w:tcW w:w="4267" w:type="dxa"/>
          </w:tcPr>
          <w:p w14:paraId="05420270" w14:textId="77777777" w:rsidR="006C4239" w:rsidRPr="006A1E11" w:rsidRDefault="006C4239" w:rsidP="006A1E11">
            <w:pPr>
              <w:ind w:left="360"/>
              <w:jc w:val="both"/>
              <w:outlineLvl w:val="1"/>
            </w:pPr>
          </w:p>
        </w:tc>
      </w:tr>
      <w:tr w:rsidR="006C4239" w:rsidRPr="00D51AE5" w14:paraId="1B6DF762" w14:textId="6C6B889F" w:rsidTr="007639A7">
        <w:tc>
          <w:tcPr>
            <w:tcW w:w="6044" w:type="dxa"/>
          </w:tcPr>
          <w:p w14:paraId="0F0DB1E2" w14:textId="77777777" w:rsidR="006C4239" w:rsidRPr="00D51AE5" w:rsidRDefault="006C4239" w:rsidP="006C4239">
            <w:pPr>
              <w:pStyle w:val="ListParagraph"/>
              <w:numPr>
                <w:ilvl w:val="0"/>
                <w:numId w:val="69"/>
              </w:numPr>
              <w:jc w:val="both"/>
              <w:rPr>
                <w:b/>
                <w:bCs/>
              </w:rPr>
            </w:pPr>
            <w:r w:rsidRPr="00D51AE5">
              <w:rPr>
                <w:b/>
                <w:bCs/>
              </w:rPr>
              <w:t>Income Tax Holiday (ITH)</w:t>
            </w:r>
          </w:p>
        </w:tc>
        <w:tc>
          <w:tcPr>
            <w:tcW w:w="3590" w:type="dxa"/>
          </w:tcPr>
          <w:p w14:paraId="6FC9B7CA" w14:textId="77777777" w:rsidR="006C4239" w:rsidRPr="006A1E11" w:rsidRDefault="006C4239" w:rsidP="006A1E11">
            <w:pPr>
              <w:ind w:left="360"/>
              <w:jc w:val="both"/>
              <w:rPr>
                <w:b/>
                <w:bCs/>
              </w:rPr>
            </w:pPr>
          </w:p>
        </w:tc>
        <w:tc>
          <w:tcPr>
            <w:tcW w:w="4267" w:type="dxa"/>
          </w:tcPr>
          <w:p w14:paraId="74651BE4" w14:textId="77777777" w:rsidR="006C4239" w:rsidRPr="006A1E11" w:rsidRDefault="006C4239" w:rsidP="006A1E11">
            <w:pPr>
              <w:ind w:left="360"/>
              <w:jc w:val="both"/>
              <w:rPr>
                <w:b/>
                <w:bCs/>
              </w:rPr>
            </w:pPr>
          </w:p>
        </w:tc>
      </w:tr>
      <w:tr w:rsidR="006C4239" w:rsidRPr="00D51AE5" w14:paraId="480B08AA" w14:textId="738539B6" w:rsidTr="007639A7">
        <w:tc>
          <w:tcPr>
            <w:tcW w:w="6044" w:type="dxa"/>
          </w:tcPr>
          <w:p w14:paraId="5CDDE79B" w14:textId="77777777" w:rsidR="006C4239" w:rsidRPr="00D51AE5" w:rsidRDefault="006C4239" w:rsidP="006C4239">
            <w:pPr>
              <w:contextualSpacing/>
              <w:jc w:val="both"/>
              <w:rPr>
                <w:rFonts w:ascii="Arial" w:hAnsi="Arial" w:cs="Arial"/>
                <w:b/>
                <w:bCs/>
              </w:rPr>
            </w:pPr>
            <w:r w:rsidRPr="00D51AE5">
              <w:rPr>
                <w:rFonts w:ascii="Arial" w:hAnsi="Arial" w:cs="Arial"/>
              </w:rPr>
              <w:t xml:space="preserve">(1) </w:t>
            </w:r>
            <w:r w:rsidRPr="00D51AE5">
              <w:rPr>
                <w:rFonts w:ascii="Arial" w:hAnsi="Arial" w:cs="Arial"/>
                <w:b/>
                <w:bCs/>
              </w:rPr>
              <w:t>Period</w:t>
            </w:r>
            <w:r w:rsidRPr="00D51AE5">
              <w:rPr>
                <w:rFonts w:ascii="Arial" w:hAnsi="Arial" w:cs="Arial"/>
                <w:b/>
              </w:rPr>
              <w:t xml:space="preserve"> of </w:t>
            </w:r>
            <w:proofErr w:type="spellStart"/>
            <w:r w:rsidRPr="00D51AE5">
              <w:rPr>
                <w:rFonts w:ascii="Arial" w:hAnsi="Arial" w:cs="Arial"/>
                <w:b/>
                <w:bCs/>
              </w:rPr>
              <w:t>Availment</w:t>
            </w:r>
            <w:proofErr w:type="spellEnd"/>
            <w:r w:rsidRPr="00D51AE5">
              <w:rPr>
                <w:rFonts w:ascii="Arial" w:hAnsi="Arial" w:cs="Arial"/>
                <w:b/>
                <w:bCs/>
              </w:rPr>
              <w:t>.</w:t>
            </w:r>
            <w:r w:rsidRPr="00D51AE5">
              <w:rPr>
                <w:rFonts w:ascii="Arial" w:hAnsi="Arial" w:cs="Arial"/>
              </w:rPr>
              <w:t xml:space="preserve"> The duly registered RE Developer shall be fully exempt from income taxes levied by the Government for the period as follows:</w:t>
            </w:r>
          </w:p>
        </w:tc>
        <w:tc>
          <w:tcPr>
            <w:tcW w:w="3590" w:type="dxa"/>
          </w:tcPr>
          <w:p w14:paraId="0E78C02D" w14:textId="77777777" w:rsidR="006C4239" w:rsidRPr="006A1E11" w:rsidRDefault="006C4239" w:rsidP="006A1E11">
            <w:pPr>
              <w:ind w:left="360"/>
              <w:jc w:val="both"/>
            </w:pPr>
          </w:p>
        </w:tc>
        <w:tc>
          <w:tcPr>
            <w:tcW w:w="4267" w:type="dxa"/>
          </w:tcPr>
          <w:p w14:paraId="5903FE3E" w14:textId="77777777" w:rsidR="006C4239" w:rsidRPr="006A1E11" w:rsidRDefault="006C4239" w:rsidP="006A1E11">
            <w:pPr>
              <w:ind w:left="360"/>
              <w:jc w:val="both"/>
            </w:pPr>
          </w:p>
        </w:tc>
      </w:tr>
      <w:tr w:rsidR="006C4239" w:rsidRPr="00D51AE5" w14:paraId="551E77D3" w14:textId="095C3FE5" w:rsidTr="007639A7">
        <w:tc>
          <w:tcPr>
            <w:tcW w:w="6044" w:type="dxa"/>
          </w:tcPr>
          <w:p w14:paraId="6A58360D" w14:textId="77777777" w:rsidR="006C4239" w:rsidRPr="00D51AE5" w:rsidRDefault="006C4239" w:rsidP="006C4239">
            <w:pPr>
              <w:pStyle w:val="ListParagraph"/>
              <w:numPr>
                <w:ilvl w:val="0"/>
                <w:numId w:val="68"/>
              </w:numPr>
              <w:ind w:left="2268" w:hanging="567"/>
              <w:jc w:val="both"/>
            </w:pPr>
            <w:r w:rsidRPr="00D51AE5">
              <w:t>Existing RE Projects — seven (7) years from the start of Commercial Operations; All RE Developers that acquire, operate and/or administer existing RE facilities that were or have been in Commercial Operation for more than seven (7) years, upon the effectivity of the RE Act, shall not be entitled to ITH, except for any additional investment.</w:t>
            </w:r>
          </w:p>
        </w:tc>
        <w:tc>
          <w:tcPr>
            <w:tcW w:w="3590" w:type="dxa"/>
          </w:tcPr>
          <w:p w14:paraId="29390CB9" w14:textId="77777777" w:rsidR="006C4239" w:rsidRPr="006A1E11" w:rsidRDefault="006C4239" w:rsidP="006A1E11">
            <w:pPr>
              <w:ind w:left="360"/>
              <w:jc w:val="both"/>
            </w:pPr>
          </w:p>
        </w:tc>
        <w:tc>
          <w:tcPr>
            <w:tcW w:w="4267" w:type="dxa"/>
          </w:tcPr>
          <w:p w14:paraId="330BEA71" w14:textId="77777777" w:rsidR="006C4239" w:rsidRPr="006A1E11" w:rsidRDefault="006C4239" w:rsidP="006A1E11">
            <w:pPr>
              <w:ind w:left="360"/>
              <w:jc w:val="both"/>
            </w:pPr>
          </w:p>
        </w:tc>
      </w:tr>
      <w:tr w:rsidR="006C4239" w:rsidRPr="00D51AE5" w14:paraId="2F81BE96" w14:textId="125EF198" w:rsidTr="007639A7">
        <w:tc>
          <w:tcPr>
            <w:tcW w:w="6044" w:type="dxa"/>
          </w:tcPr>
          <w:p w14:paraId="0CE7B119" w14:textId="77777777" w:rsidR="006C4239" w:rsidRPr="00D51AE5" w:rsidRDefault="006C4239" w:rsidP="006C4239">
            <w:pPr>
              <w:pStyle w:val="ListParagraph"/>
              <w:numPr>
                <w:ilvl w:val="0"/>
                <w:numId w:val="68"/>
              </w:numPr>
              <w:ind w:left="2268" w:hanging="567"/>
              <w:jc w:val="both"/>
            </w:pPr>
            <w:r w:rsidRPr="00D51AE5">
              <w:t>New investment in RE Resources — seven (7) years from the start of Commercial Operations resulting from new investments; and</w:t>
            </w:r>
          </w:p>
        </w:tc>
        <w:tc>
          <w:tcPr>
            <w:tcW w:w="3590" w:type="dxa"/>
          </w:tcPr>
          <w:p w14:paraId="031960CB" w14:textId="77777777" w:rsidR="006C4239" w:rsidRPr="006A1E11" w:rsidRDefault="006C4239" w:rsidP="006A1E11">
            <w:pPr>
              <w:ind w:left="360"/>
              <w:jc w:val="both"/>
            </w:pPr>
          </w:p>
        </w:tc>
        <w:tc>
          <w:tcPr>
            <w:tcW w:w="4267" w:type="dxa"/>
          </w:tcPr>
          <w:p w14:paraId="5F671EB2" w14:textId="77777777" w:rsidR="006C4239" w:rsidRPr="006A1E11" w:rsidRDefault="006C4239" w:rsidP="006A1E11">
            <w:pPr>
              <w:ind w:left="360"/>
              <w:jc w:val="both"/>
            </w:pPr>
          </w:p>
        </w:tc>
      </w:tr>
      <w:tr w:rsidR="006C4239" w:rsidRPr="00D51AE5" w14:paraId="0A3E2693" w14:textId="556DA053" w:rsidTr="007639A7">
        <w:tc>
          <w:tcPr>
            <w:tcW w:w="6044" w:type="dxa"/>
          </w:tcPr>
          <w:p w14:paraId="1F79444E" w14:textId="77777777" w:rsidR="006C4239" w:rsidRPr="00D51AE5" w:rsidRDefault="006C4239" w:rsidP="006C4239">
            <w:pPr>
              <w:pStyle w:val="ListParagraph"/>
              <w:numPr>
                <w:ilvl w:val="0"/>
                <w:numId w:val="68"/>
              </w:numPr>
              <w:ind w:left="2268" w:hanging="567"/>
              <w:jc w:val="both"/>
            </w:pPr>
            <w:r w:rsidRPr="00D51AE5">
              <w:t xml:space="preserve">Additional investment in the RE Project — not more than three </w:t>
            </w:r>
          </w:p>
        </w:tc>
        <w:tc>
          <w:tcPr>
            <w:tcW w:w="3590" w:type="dxa"/>
          </w:tcPr>
          <w:p w14:paraId="3135CF84" w14:textId="77777777" w:rsidR="006C4239" w:rsidRPr="006A1E11" w:rsidRDefault="006C4239" w:rsidP="006A1E11">
            <w:pPr>
              <w:ind w:left="360"/>
              <w:jc w:val="both"/>
            </w:pPr>
          </w:p>
        </w:tc>
        <w:tc>
          <w:tcPr>
            <w:tcW w:w="4267" w:type="dxa"/>
          </w:tcPr>
          <w:p w14:paraId="69AC7B4C" w14:textId="77777777" w:rsidR="006C4239" w:rsidRPr="006A1E11" w:rsidRDefault="006C4239" w:rsidP="006A1E11">
            <w:pPr>
              <w:ind w:left="360"/>
              <w:jc w:val="both"/>
            </w:pPr>
          </w:p>
        </w:tc>
      </w:tr>
      <w:tr w:rsidR="006C4239" w:rsidRPr="00D51AE5" w14:paraId="74602B33" w14:textId="21EF4A7B" w:rsidTr="007639A7">
        <w:tc>
          <w:tcPr>
            <w:tcW w:w="6044" w:type="dxa"/>
          </w:tcPr>
          <w:p w14:paraId="7627EA9B" w14:textId="77777777" w:rsidR="006C4239" w:rsidRPr="00D51AE5" w:rsidRDefault="006C4239" w:rsidP="006C4239">
            <w:pPr>
              <w:contextualSpacing/>
              <w:jc w:val="both"/>
              <w:rPr>
                <w:rFonts w:ascii="Arial" w:hAnsi="Arial" w:cs="Arial"/>
                <w:b/>
                <w:bCs/>
              </w:rPr>
            </w:pPr>
            <w:r w:rsidRPr="00D51AE5">
              <w:rPr>
                <w:rFonts w:ascii="Arial" w:hAnsi="Arial" w:cs="Arial"/>
              </w:rPr>
              <w:t xml:space="preserve">(3) times the period of the initial </w:t>
            </w:r>
            <w:proofErr w:type="spellStart"/>
            <w:r w:rsidRPr="00D51AE5">
              <w:rPr>
                <w:rFonts w:ascii="Arial" w:hAnsi="Arial" w:cs="Arial"/>
              </w:rPr>
              <w:t>availment</w:t>
            </w:r>
            <w:proofErr w:type="spellEnd"/>
            <w:r w:rsidRPr="00D51AE5">
              <w:rPr>
                <w:rFonts w:ascii="Arial" w:hAnsi="Arial" w:cs="Arial"/>
              </w:rPr>
              <w:t xml:space="preserve"> by the existing or new RE project or covering new or additional investments.</w:t>
            </w:r>
          </w:p>
        </w:tc>
        <w:tc>
          <w:tcPr>
            <w:tcW w:w="3590" w:type="dxa"/>
          </w:tcPr>
          <w:p w14:paraId="04121E19" w14:textId="77777777" w:rsidR="006C4239" w:rsidRPr="006A1E11" w:rsidRDefault="006C4239" w:rsidP="006A1E11">
            <w:pPr>
              <w:ind w:left="360"/>
              <w:jc w:val="both"/>
            </w:pPr>
          </w:p>
        </w:tc>
        <w:tc>
          <w:tcPr>
            <w:tcW w:w="4267" w:type="dxa"/>
          </w:tcPr>
          <w:p w14:paraId="74091876" w14:textId="77777777" w:rsidR="006C4239" w:rsidRPr="006A1E11" w:rsidRDefault="006C4239" w:rsidP="006A1E11">
            <w:pPr>
              <w:ind w:left="360"/>
              <w:jc w:val="both"/>
            </w:pPr>
          </w:p>
        </w:tc>
      </w:tr>
      <w:tr w:rsidR="006C4239" w:rsidRPr="00D51AE5" w14:paraId="68427E73" w14:textId="78BAE6B9" w:rsidTr="007639A7">
        <w:tc>
          <w:tcPr>
            <w:tcW w:w="6044" w:type="dxa"/>
          </w:tcPr>
          <w:p w14:paraId="55744330" w14:textId="77777777" w:rsidR="006C4239" w:rsidRPr="00D51AE5" w:rsidRDefault="006C4239" w:rsidP="006C4239">
            <w:pPr>
              <w:contextualSpacing/>
              <w:jc w:val="both"/>
              <w:rPr>
                <w:rFonts w:ascii="Arial" w:hAnsi="Arial" w:cs="Arial"/>
              </w:rPr>
            </w:pPr>
            <w:r w:rsidRPr="00D51AE5">
              <w:rPr>
                <w:rFonts w:ascii="Arial" w:hAnsi="Arial" w:cs="Arial"/>
              </w:rPr>
              <w:t>The maximum period within which an RE Developer may be entitled to an ITH shall be twenty-one (21) years, inclusive of the initial seven (7)-year ITH for its new and additional investments in a specific RE facility.</w:t>
            </w:r>
          </w:p>
        </w:tc>
        <w:tc>
          <w:tcPr>
            <w:tcW w:w="3590" w:type="dxa"/>
          </w:tcPr>
          <w:p w14:paraId="750C4BF9" w14:textId="77777777" w:rsidR="006C4239" w:rsidRPr="006A1E11" w:rsidRDefault="006C4239" w:rsidP="006A1E11">
            <w:pPr>
              <w:ind w:left="360"/>
              <w:jc w:val="both"/>
            </w:pPr>
          </w:p>
        </w:tc>
        <w:tc>
          <w:tcPr>
            <w:tcW w:w="4267" w:type="dxa"/>
          </w:tcPr>
          <w:p w14:paraId="35324DDB" w14:textId="77777777" w:rsidR="006C4239" w:rsidRPr="006A1E11" w:rsidRDefault="006C4239" w:rsidP="006A1E11">
            <w:pPr>
              <w:ind w:left="360"/>
              <w:jc w:val="both"/>
            </w:pPr>
          </w:p>
        </w:tc>
      </w:tr>
      <w:tr w:rsidR="006C4239" w:rsidRPr="00D51AE5" w14:paraId="44AD6E68" w14:textId="4F7F28FF" w:rsidTr="007639A7">
        <w:tc>
          <w:tcPr>
            <w:tcW w:w="6044" w:type="dxa"/>
          </w:tcPr>
          <w:p w14:paraId="68DB6B3A" w14:textId="77777777" w:rsidR="006C4239" w:rsidRPr="00D51AE5" w:rsidRDefault="006C4239" w:rsidP="006C4239">
            <w:pPr>
              <w:contextualSpacing/>
              <w:jc w:val="both"/>
              <w:rPr>
                <w:rFonts w:ascii="Arial" w:hAnsi="Arial" w:cs="Arial"/>
                <w:b/>
                <w:bCs/>
              </w:rPr>
            </w:pPr>
            <w:r w:rsidRPr="00D51AE5">
              <w:rPr>
                <w:rFonts w:ascii="Arial" w:hAnsi="Arial" w:cs="Arial"/>
              </w:rPr>
              <w:t>(2)</w:t>
            </w:r>
            <w:r w:rsidRPr="00D51AE5">
              <w:rPr>
                <w:rFonts w:ascii="Arial" w:hAnsi="Arial" w:cs="Arial"/>
                <w:b/>
                <w:bCs/>
              </w:rPr>
              <w:t xml:space="preserve"> Entitlement for New and Additional Investments subject to prior approval by the DOE</w:t>
            </w:r>
          </w:p>
        </w:tc>
        <w:tc>
          <w:tcPr>
            <w:tcW w:w="3590" w:type="dxa"/>
          </w:tcPr>
          <w:p w14:paraId="0E807775" w14:textId="77777777" w:rsidR="006C4239" w:rsidRPr="006A1E11" w:rsidRDefault="006C4239" w:rsidP="006A1E11">
            <w:pPr>
              <w:ind w:left="360"/>
              <w:jc w:val="both"/>
            </w:pPr>
          </w:p>
        </w:tc>
        <w:tc>
          <w:tcPr>
            <w:tcW w:w="4267" w:type="dxa"/>
          </w:tcPr>
          <w:p w14:paraId="5C54A5D0" w14:textId="77777777" w:rsidR="006C4239" w:rsidRPr="006A1E11" w:rsidRDefault="006C4239" w:rsidP="006A1E11">
            <w:pPr>
              <w:ind w:left="360"/>
              <w:jc w:val="both"/>
            </w:pPr>
          </w:p>
        </w:tc>
      </w:tr>
      <w:tr w:rsidR="006C4239" w:rsidRPr="00D51AE5" w14:paraId="0ED6FF10" w14:textId="7FD491CC" w:rsidTr="007639A7">
        <w:tc>
          <w:tcPr>
            <w:tcW w:w="6044" w:type="dxa"/>
          </w:tcPr>
          <w:p w14:paraId="253C2152" w14:textId="77777777" w:rsidR="006C4239" w:rsidRPr="00D51AE5" w:rsidRDefault="006C4239" w:rsidP="006C4239">
            <w:pPr>
              <w:pStyle w:val="ListParagraph"/>
              <w:numPr>
                <w:ilvl w:val="0"/>
                <w:numId w:val="68"/>
              </w:numPr>
              <w:ind w:left="2268" w:hanging="567"/>
              <w:jc w:val="both"/>
            </w:pPr>
            <w:r w:rsidRPr="00D51AE5">
              <w:t xml:space="preserve">New Investment. A fresh package of </w:t>
            </w:r>
            <w:bookmarkStart w:id="7" w:name="_Hlk144479371"/>
            <w:r w:rsidRPr="00D51AE5">
              <w:t>ITH from the start of commercial operations shall apply.</w:t>
            </w:r>
          </w:p>
        </w:tc>
        <w:tc>
          <w:tcPr>
            <w:tcW w:w="3590" w:type="dxa"/>
          </w:tcPr>
          <w:p w14:paraId="34BE49FE" w14:textId="77777777" w:rsidR="006C4239" w:rsidRPr="006A1E11" w:rsidRDefault="006C4239" w:rsidP="006A1E11">
            <w:pPr>
              <w:ind w:left="360"/>
              <w:jc w:val="both"/>
            </w:pPr>
          </w:p>
        </w:tc>
        <w:tc>
          <w:tcPr>
            <w:tcW w:w="4267" w:type="dxa"/>
          </w:tcPr>
          <w:p w14:paraId="18EA411D" w14:textId="77777777" w:rsidR="006C4239" w:rsidRPr="006A1E11" w:rsidRDefault="006C4239" w:rsidP="006A1E11">
            <w:pPr>
              <w:ind w:left="360"/>
              <w:jc w:val="both"/>
            </w:pPr>
          </w:p>
        </w:tc>
      </w:tr>
      <w:tr w:rsidR="006C4239" w:rsidRPr="00D51AE5" w14:paraId="51B9B944" w14:textId="0094E713" w:rsidTr="007639A7">
        <w:tc>
          <w:tcPr>
            <w:tcW w:w="6044" w:type="dxa"/>
          </w:tcPr>
          <w:p w14:paraId="6903CC19" w14:textId="77777777" w:rsidR="006C4239" w:rsidRPr="00D51AE5" w:rsidRDefault="006C4239" w:rsidP="006C4239">
            <w:pPr>
              <w:pStyle w:val="ListParagraph"/>
              <w:numPr>
                <w:ilvl w:val="0"/>
                <w:numId w:val="68"/>
              </w:numPr>
              <w:ind w:left="2268" w:hanging="567"/>
              <w:jc w:val="both"/>
            </w:pPr>
            <w:r w:rsidRPr="00D51AE5">
              <w:t>Additional Investment. The ITH for additional investments in an existing RE project shall be applied only to the income attributable to the additional investment.</w:t>
            </w:r>
          </w:p>
        </w:tc>
        <w:tc>
          <w:tcPr>
            <w:tcW w:w="3590" w:type="dxa"/>
          </w:tcPr>
          <w:p w14:paraId="675611DF" w14:textId="77777777" w:rsidR="006C4239" w:rsidRPr="006A1E11" w:rsidRDefault="006C4239" w:rsidP="006A1E11">
            <w:pPr>
              <w:ind w:left="360"/>
              <w:jc w:val="both"/>
            </w:pPr>
          </w:p>
        </w:tc>
        <w:tc>
          <w:tcPr>
            <w:tcW w:w="4267" w:type="dxa"/>
          </w:tcPr>
          <w:p w14:paraId="6B716FE2" w14:textId="77777777" w:rsidR="006C4239" w:rsidRPr="006A1E11" w:rsidRDefault="006C4239" w:rsidP="006A1E11">
            <w:pPr>
              <w:ind w:left="360"/>
              <w:jc w:val="both"/>
            </w:pPr>
          </w:p>
        </w:tc>
      </w:tr>
      <w:tr w:rsidR="006C4239" w:rsidRPr="00D51AE5" w14:paraId="44ACC2C6" w14:textId="299E51E3" w:rsidTr="007639A7">
        <w:tc>
          <w:tcPr>
            <w:tcW w:w="6044" w:type="dxa"/>
          </w:tcPr>
          <w:p w14:paraId="71F44FF8" w14:textId="1827A3D5" w:rsidR="006C4239" w:rsidRPr="00D51AE5" w:rsidRDefault="006C4239" w:rsidP="006C4239">
            <w:pPr>
              <w:contextualSpacing/>
              <w:jc w:val="both"/>
              <w:rPr>
                <w:rFonts w:ascii="Arial" w:hAnsi="Arial" w:cs="Arial"/>
                <w:b/>
                <w:bCs/>
              </w:rPr>
            </w:pPr>
            <w:r w:rsidRPr="00D51AE5">
              <w:rPr>
                <w:rFonts w:ascii="Arial" w:hAnsi="Arial" w:cs="Arial"/>
                <w:b/>
                <w:bCs/>
              </w:rPr>
              <w:t xml:space="preserve">B. Exemption from Duties on RE Machinery, Equipment, and </w:t>
            </w:r>
            <w:r w:rsidR="00177E6D" w:rsidRPr="00D51AE5">
              <w:rPr>
                <w:rFonts w:ascii="Arial" w:hAnsi="Arial" w:cs="Arial"/>
                <w:b/>
                <w:bCs/>
              </w:rPr>
              <w:t>Materials</w:t>
            </w:r>
          </w:p>
        </w:tc>
        <w:tc>
          <w:tcPr>
            <w:tcW w:w="3590" w:type="dxa"/>
          </w:tcPr>
          <w:p w14:paraId="1A36B793" w14:textId="77777777" w:rsidR="006C4239" w:rsidRPr="006A1E11" w:rsidRDefault="006C4239" w:rsidP="006A1E11">
            <w:pPr>
              <w:ind w:left="360"/>
              <w:jc w:val="both"/>
              <w:rPr>
                <w:b/>
                <w:bCs/>
              </w:rPr>
            </w:pPr>
          </w:p>
        </w:tc>
        <w:tc>
          <w:tcPr>
            <w:tcW w:w="4267" w:type="dxa"/>
          </w:tcPr>
          <w:p w14:paraId="39B8313B" w14:textId="77777777" w:rsidR="006C4239" w:rsidRPr="006A1E11" w:rsidRDefault="006C4239" w:rsidP="006A1E11">
            <w:pPr>
              <w:ind w:left="360"/>
              <w:jc w:val="both"/>
              <w:rPr>
                <w:b/>
                <w:bCs/>
              </w:rPr>
            </w:pPr>
          </w:p>
        </w:tc>
      </w:tr>
      <w:tr w:rsidR="006C4239" w:rsidRPr="00D51AE5" w14:paraId="60F95AC9" w14:textId="717B11A5" w:rsidTr="007639A7">
        <w:tc>
          <w:tcPr>
            <w:tcW w:w="6044" w:type="dxa"/>
          </w:tcPr>
          <w:p w14:paraId="02CBD6BA" w14:textId="77777777" w:rsidR="006C4239" w:rsidRPr="00D51AE5" w:rsidRDefault="006C4239" w:rsidP="006C4239">
            <w:pPr>
              <w:contextualSpacing/>
              <w:jc w:val="both"/>
              <w:rPr>
                <w:rFonts w:ascii="Arial" w:hAnsi="Arial" w:cs="Arial"/>
                <w:b/>
                <w:bCs/>
              </w:rPr>
            </w:pPr>
            <w:r w:rsidRPr="00D51AE5">
              <w:rPr>
                <w:rFonts w:ascii="Arial" w:hAnsi="Arial" w:cs="Arial"/>
              </w:rPr>
              <w:t>Within the first ten (10) years from the issuance of a COR to an RE Developer, the importation of machinery and equipment, and materials and parts thereof, including control and communication equipment, shall be exempt from tariff duties.</w:t>
            </w:r>
          </w:p>
        </w:tc>
        <w:tc>
          <w:tcPr>
            <w:tcW w:w="3590" w:type="dxa"/>
          </w:tcPr>
          <w:p w14:paraId="6ACAFFC5" w14:textId="77777777" w:rsidR="006C4239" w:rsidRPr="006A1E11" w:rsidRDefault="006C4239" w:rsidP="006A1E11">
            <w:pPr>
              <w:ind w:left="360"/>
              <w:jc w:val="both"/>
            </w:pPr>
          </w:p>
        </w:tc>
        <w:tc>
          <w:tcPr>
            <w:tcW w:w="4267" w:type="dxa"/>
          </w:tcPr>
          <w:p w14:paraId="1960E5DF" w14:textId="77777777" w:rsidR="006C4239" w:rsidRPr="006A1E11" w:rsidRDefault="006C4239" w:rsidP="006A1E11">
            <w:pPr>
              <w:ind w:left="360"/>
              <w:jc w:val="both"/>
            </w:pPr>
          </w:p>
        </w:tc>
      </w:tr>
      <w:tr w:rsidR="006C4239" w:rsidRPr="00D51AE5" w14:paraId="7F19A7E5" w14:textId="4FD6930E" w:rsidTr="007639A7">
        <w:tc>
          <w:tcPr>
            <w:tcW w:w="6044" w:type="dxa"/>
          </w:tcPr>
          <w:p w14:paraId="0F74637F" w14:textId="77777777" w:rsidR="006C4239" w:rsidRPr="00D51AE5" w:rsidRDefault="006C4239" w:rsidP="006C4239">
            <w:pPr>
              <w:contextualSpacing/>
              <w:jc w:val="both"/>
              <w:rPr>
                <w:rFonts w:ascii="Arial" w:hAnsi="Arial" w:cs="Arial"/>
              </w:rPr>
            </w:pPr>
            <w:r w:rsidRPr="00D51AE5">
              <w:rPr>
                <w:rFonts w:ascii="Arial" w:hAnsi="Arial" w:cs="Arial"/>
              </w:rPr>
              <w:t>(1) Conditions for Duty-Free Importation. An RE Developer may import machinery and equipment, materials and parts thereof exempt from the payment of any and all tariff duties due thereon subject to the following conditions:</w:t>
            </w:r>
          </w:p>
        </w:tc>
        <w:tc>
          <w:tcPr>
            <w:tcW w:w="3590" w:type="dxa"/>
          </w:tcPr>
          <w:p w14:paraId="6BD5DA83" w14:textId="77777777" w:rsidR="006C4239" w:rsidRPr="006A1E11" w:rsidRDefault="006C4239" w:rsidP="006A1E11">
            <w:pPr>
              <w:ind w:left="360"/>
              <w:jc w:val="both"/>
            </w:pPr>
          </w:p>
        </w:tc>
        <w:tc>
          <w:tcPr>
            <w:tcW w:w="4267" w:type="dxa"/>
          </w:tcPr>
          <w:p w14:paraId="75D471F9" w14:textId="77777777" w:rsidR="006C4239" w:rsidRPr="006A1E11" w:rsidRDefault="006C4239" w:rsidP="006A1E11">
            <w:pPr>
              <w:ind w:left="360"/>
              <w:jc w:val="both"/>
            </w:pPr>
          </w:p>
        </w:tc>
      </w:tr>
      <w:tr w:rsidR="006C4239" w:rsidRPr="00D51AE5" w14:paraId="54AD8CDA" w14:textId="669E9643" w:rsidTr="007639A7">
        <w:tc>
          <w:tcPr>
            <w:tcW w:w="6044" w:type="dxa"/>
          </w:tcPr>
          <w:p w14:paraId="164AF534" w14:textId="77777777" w:rsidR="006C4239" w:rsidRPr="00D51AE5" w:rsidRDefault="006C4239" w:rsidP="006C4239">
            <w:pPr>
              <w:pStyle w:val="ListParagraph"/>
              <w:numPr>
                <w:ilvl w:val="0"/>
                <w:numId w:val="68"/>
              </w:numPr>
              <w:ind w:left="2268" w:hanging="567"/>
              <w:jc w:val="both"/>
            </w:pPr>
            <w:r w:rsidRPr="00D51AE5">
              <w:t>The machinery and equipment are directly and actually needed and will be used exclusively in the RE facilities for the transformation of and delivery of energy to the point of use;</w:t>
            </w:r>
          </w:p>
        </w:tc>
        <w:tc>
          <w:tcPr>
            <w:tcW w:w="3590" w:type="dxa"/>
          </w:tcPr>
          <w:p w14:paraId="58F6124D" w14:textId="77777777" w:rsidR="006C4239" w:rsidRPr="006A1E11" w:rsidRDefault="006C4239" w:rsidP="006A1E11">
            <w:pPr>
              <w:ind w:left="360"/>
              <w:jc w:val="both"/>
            </w:pPr>
          </w:p>
        </w:tc>
        <w:tc>
          <w:tcPr>
            <w:tcW w:w="4267" w:type="dxa"/>
          </w:tcPr>
          <w:p w14:paraId="6CF76B65" w14:textId="77777777" w:rsidR="006C4239" w:rsidRPr="006A1E11" w:rsidRDefault="006C4239" w:rsidP="006A1E11">
            <w:pPr>
              <w:ind w:left="360"/>
              <w:jc w:val="both"/>
            </w:pPr>
          </w:p>
        </w:tc>
      </w:tr>
      <w:tr w:rsidR="006C4239" w:rsidRPr="00D51AE5" w14:paraId="4FBA67FF" w14:textId="654D7F62" w:rsidTr="007639A7">
        <w:tc>
          <w:tcPr>
            <w:tcW w:w="6044" w:type="dxa"/>
          </w:tcPr>
          <w:p w14:paraId="2101738B" w14:textId="77777777" w:rsidR="006C4239" w:rsidRPr="00D51AE5" w:rsidRDefault="006C4239" w:rsidP="006C4239">
            <w:pPr>
              <w:pStyle w:val="ListParagraph"/>
              <w:numPr>
                <w:ilvl w:val="0"/>
                <w:numId w:val="68"/>
              </w:numPr>
              <w:ind w:left="2268" w:hanging="567"/>
              <w:jc w:val="both"/>
            </w:pPr>
            <w:r w:rsidRPr="00D51AE5">
              <w:t>The importation of materials and spare parts shall be restricted only to component materials and parts for the specific machinery and/or equipment authorized to be imported;</w:t>
            </w:r>
          </w:p>
        </w:tc>
        <w:tc>
          <w:tcPr>
            <w:tcW w:w="3590" w:type="dxa"/>
          </w:tcPr>
          <w:p w14:paraId="309BE699" w14:textId="77777777" w:rsidR="006C4239" w:rsidRPr="006A1E11" w:rsidRDefault="006C4239" w:rsidP="006A1E11">
            <w:pPr>
              <w:ind w:left="360"/>
              <w:jc w:val="both"/>
            </w:pPr>
          </w:p>
        </w:tc>
        <w:tc>
          <w:tcPr>
            <w:tcW w:w="4267" w:type="dxa"/>
          </w:tcPr>
          <w:p w14:paraId="691CBC66" w14:textId="77777777" w:rsidR="006C4239" w:rsidRPr="006A1E11" w:rsidRDefault="006C4239" w:rsidP="006A1E11">
            <w:pPr>
              <w:ind w:left="360"/>
              <w:jc w:val="both"/>
            </w:pPr>
          </w:p>
        </w:tc>
      </w:tr>
      <w:tr w:rsidR="006C4239" w:rsidRPr="00D51AE5" w14:paraId="240F8ADC" w14:textId="76169CFE" w:rsidTr="007639A7">
        <w:tc>
          <w:tcPr>
            <w:tcW w:w="6044" w:type="dxa"/>
          </w:tcPr>
          <w:p w14:paraId="3D348CEF" w14:textId="77777777" w:rsidR="006C4239" w:rsidRPr="00D51AE5" w:rsidRDefault="006C4239" w:rsidP="006C4239">
            <w:pPr>
              <w:pStyle w:val="ListParagraph"/>
              <w:numPr>
                <w:ilvl w:val="0"/>
                <w:numId w:val="68"/>
              </w:numPr>
              <w:ind w:left="2268" w:hanging="567"/>
              <w:jc w:val="both"/>
            </w:pPr>
            <w:r w:rsidRPr="00D51AE5">
              <w:t>The kind of capital machinery and equipment to be imported must be in accordance with the approved work and financial program of the RE facilities; and</w:t>
            </w:r>
          </w:p>
        </w:tc>
        <w:tc>
          <w:tcPr>
            <w:tcW w:w="3590" w:type="dxa"/>
          </w:tcPr>
          <w:p w14:paraId="10150925" w14:textId="77777777" w:rsidR="006C4239" w:rsidRPr="006A1E11" w:rsidRDefault="006C4239" w:rsidP="006A1E11">
            <w:pPr>
              <w:ind w:left="360"/>
              <w:jc w:val="both"/>
            </w:pPr>
          </w:p>
        </w:tc>
        <w:tc>
          <w:tcPr>
            <w:tcW w:w="4267" w:type="dxa"/>
          </w:tcPr>
          <w:p w14:paraId="5C91BF8C" w14:textId="77777777" w:rsidR="006C4239" w:rsidRPr="006A1E11" w:rsidRDefault="006C4239" w:rsidP="006A1E11">
            <w:pPr>
              <w:ind w:left="360"/>
              <w:jc w:val="both"/>
            </w:pPr>
          </w:p>
        </w:tc>
      </w:tr>
      <w:tr w:rsidR="006C4239" w:rsidRPr="00D51AE5" w14:paraId="06ADF43B" w14:textId="180C124D" w:rsidTr="007639A7">
        <w:tc>
          <w:tcPr>
            <w:tcW w:w="6044" w:type="dxa"/>
          </w:tcPr>
          <w:p w14:paraId="034EF231" w14:textId="77777777" w:rsidR="006C4239" w:rsidRPr="00D51AE5" w:rsidRDefault="006C4239" w:rsidP="006C4239">
            <w:pPr>
              <w:pStyle w:val="ListParagraph"/>
              <w:numPr>
                <w:ilvl w:val="0"/>
                <w:numId w:val="68"/>
              </w:numPr>
              <w:ind w:left="2268" w:hanging="567"/>
              <w:jc w:val="both"/>
            </w:pPr>
            <w:r w:rsidRPr="00D51AE5">
              <w:t>Such importation shall be covered by shipping documents in the name of the</w:t>
            </w:r>
            <w:bookmarkEnd w:id="7"/>
            <w:r w:rsidRPr="00D51AE5">
              <w:t xml:space="preserve"> duly registered RE Developer/operator to whom the shipment will be directly delivered by customs authorities.</w:t>
            </w:r>
          </w:p>
        </w:tc>
        <w:tc>
          <w:tcPr>
            <w:tcW w:w="3590" w:type="dxa"/>
          </w:tcPr>
          <w:p w14:paraId="37419E58" w14:textId="77777777" w:rsidR="006C4239" w:rsidRPr="006A1E11" w:rsidRDefault="006C4239" w:rsidP="006A1E11">
            <w:pPr>
              <w:ind w:left="360"/>
              <w:jc w:val="both"/>
            </w:pPr>
          </w:p>
        </w:tc>
        <w:tc>
          <w:tcPr>
            <w:tcW w:w="4267" w:type="dxa"/>
          </w:tcPr>
          <w:p w14:paraId="2226C26E" w14:textId="77777777" w:rsidR="006C4239" w:rsidRPr="006A1E11" w:rsidRDefault="006C4239" w:rsidP="006A1E11">
            <w:pPr>
              <w:ind w:left="360"/>
              <w:jc w:val="both"/>
            </w:pPr>
          </w:p>
        </w:tc>
      </w:tr>
      <w:tr w:rsidR="006C4239" w:rsidRPr="00D51AE5" w14:paraId="5A4472BE" w14:textId="215D1532" w:rsidTr="007639A7">
        <w:tc>
          <w:tcPr>
            <w:tcW w:w="6044" w:type="dxa"/>
          </w:tcPr>
          <w:p w14:paraId="31FD376F" w14:textId="77777777" w:rsidR="006C4239" w:rsidRPr="00D51AE5" w:rsidRDefault="006C4239" w:rsidP="006C4239">
            <w:pPr>
              <w:contextualSpacing/>
              <w:jc w:val="both"/>
              <w:rPr>
                <w:rFonts w:ascii="Arial" w:hAnsi="Arial" w:cs="Arial"/>
                <w:b/>
                <w:bCs/>
              </w:rPr>
            </w:pPr>
            <w:r w:rsidRPr="00D51AE5">
              <w:rPr>
                <w:rFonts w:ascii="Arial" w:hAnsi="Arial" w:cs="Arial"/>
              </w:rPr>
              <w:t>(2)</w:t>
            </w:r>
            <w:r w:rsidRPr="00D51AE5">
              <w:rPr>
                <w:rFonts w:ascii="Arial" w:hAnsi="Arial" w:cs="Arial"/>
                <w:b/>
                <w:bCs/>
              </w:rPr>
              <w:t xml:space="preserve"> Sale or Disposition of Capital Equipment.</w:t>
            </w:r>
            <w:r w:rsidRPr="00D51AE5">
              <w:rPr>
                <w:rFonts w:ascii="Arial" w:hAnsi="Arial" w:cs="Arial"/>
              </w:rPr>
              <w:t xml:space="preserve"> Any sale, transfer, assignment, donation, or other modes of disposition of originally imported capital equipment/machinery including materials and spare parts, brought into the RE facilities of the RE Developer which availed of duty-free importation within ten (10) years from date of importation shall require prior endorsement of the DOE. Such endorsement shall be granted only if any of the following conditions is present:</w:t>
            </w:r>
          </w:p>
        </w:tc>
        <w:tc>
          <w:tcPr>
            <w:tcW w:w="3590" w:type="dxa"/>
          </w:tcPr>
          <w:p w14:paraId="58729180" w14:textId="77777777" w:rsidR="006C4239" w:rsidRPr="006A1E11" w:rsidRDefault="006C4239" w:rsidP="006A1E11">
            <w:pPr>
              <w:ind w:left="360"/>
              <w:jc w:val="both"/>
            </w:pPr>
          </w:p>
        </w:tc>
        <w:tc>
          <w:tcPr>
            <w:tcW w:w="4267" w:type="dxa"/>
          </w:tcPr>
          <w:p w14:paraId="0B02EED1" w14:textId="77777777" w:rsidR="006C4239" w:rsidRPr="006A1E11" w:rsidRDefault="006C4239" w:rsidP="006A1E11">
            <w:pPr>
              <w:ind w:left="360"/>
              <w:jc w:val="both"/>
            </w:pPr>
          </w:p>
        </w:tc>
      </w:tr>
      <w:tr w:rsidR="006C4239" w:rsidRPr="00D51AE5" w14:paraId="4159DB37" w14:textId="753222F2" w:rsidTr="007639A7">
        <w:tc>
          <w:tcPr>
            <w:tcW w:w="6044" w:type="dxa"/>
          </w:tcPr>
          <w:p w14:paraId="03A3E376" w14:textId="77777777" w:rsidR="006C4239" w:rsidRPr="00D51AE5" w:rsidRDefault="006C4239" w:rsidP="006C4239">
            <w:pPr>
              <w:pStyle w:val="ListParagraph"/>
              <w:numPr>
                <w:ilvl w:val="0"/>
                <w:numId w:val="68"/>
              </w:numPr>
              <w:ind w:left="2268" w:hanging="567"/>
              <w:jc w:val="both"/>
            </w:pPr>
            <w:r w:rsidRPr="00D51AE5">
              <w:t>If made to another RE Developer enjoying tax and duty exemption on imported capital equipment;</w:t>
            </w:r>
          </w:p>
        </w:tc>
        <w:tc>
          <w:tcPr>
            <w:tcW w:w="3590" w:type="dxa"/>
          </w:tcPr>
          <w:p w14:paraId="62F74283" w14:textId="77777777" w:rsidR="006C4239" w:rsidRPr="006A1E11" w:rsidRDefault="006C4239" w:rsidP="006A1E11">
            <w:pPr>
              <w:ind w:left="360"/>
              <w:jc w:val="both"/>
            </w:pPr>
          </w:p>
        </w:tc>
        <w:tc>
          <w:tcPr>
            <w:tcW w:w="4267" w:type="dxa"/>
          </w:tcPr>
          <w:p w14:paraId="1F7399EC" w14:textId="77777777" w:rsidR="006C4239" w:rsidRPr="006A1E11" w:rsidRDefault="006C4239" w:rsidP="006A1E11">
            <w:pPr>
              <w:ind w:left="360"/>
              <w:jc w:val="both"/>
            </w:pPr>
          </w:p>
        </w:tc>
      </w:tr>
      <w:tr w:rsidR="006C4239" w:rsidRPr="00D51AE5" w14:paraId="205E823D" w14:textId="3745A0B9" w:rsidTr="007639A7">
        <w:tc>
          <w:tcPr>
            <w:tcW w:w="6044" w:type="dxa"/>
          </w:tcPr>
          <w:p w14:paraId="2F3BB369" w14:textId="77777777" w:rsidR="006C4239" w:rsidRPr="00D51AE5" w:rsidRDefault="006C4239" w:rsidP="006C4239">
            <w:pPr>
              <w:pStyle w:val="ListParagraph"/>
              <w:numPr>
                <w:ilvl w:val="0"/>
                <w:numId w:val="68"/>
              </w:numPr>
              <w:ind w:left="2268" w:hanging="567"/>
              <w:jc w:val="both"/>
            </w:pPr>
            <w:r w:rsidRPr="00D51AE5">
              <w:t>If made to a non-RE Developer, upon payment of any taxes and duties due on the net book value of the capital equipment to be sold;</w:t>
            </w:r>
          </w:p>
        </w:tc>
        <w:tc>
          <w:tcPr>
            <w:tcW w:w="3590" w:type="dxa"/>
          </w:tcPr>
          <w:p w14:paraId="78EEFADB" w14:textId="77777777" w:rsidR="006C4239" w:rsidRPr="006A1E11" w:rsidRDefault="006C4239" w:rsidP="006A1E11">
            <w:pPr>
              <w:ind w:left="360"/>
              <w:jc w:val="both"/>
            </w:pPr>
          </w:p>
        </w:tc>
        <w:tc>
          <w:tcPr>
            <w:tcW w:w="4267" w:type="dxa"/>
          </w:tcPr>
          <w:p w14:paraId="0533AABC" w14:textId="77777777" w:rsidR="006C4239" w:rsidRPr="006A1E11" w:rsidRDefault="006C4239" w:rsidP="006A1E11">
            <w:pPr>
              <w:ind w:left="360"/>
              <w:jc w:val="both"/>
            </w:pPr>
          </w:p>
        </w:tc>
      </w:tr>
      <w:tr w:rsidR="006C4239" w:rsidRPr="00D51AE5" w14:paraId="5DD62FC4" w14:textId="08DE5455" w:rsidTr="007639A7">
        <w:tc>
          <w:tcPr>
            <w:tcW w:w="6044" w:type="dxa"/>
          </w:tcPr>
          <w:p w14:paraId="64B70F63" w14:textId="77777777" w:rsidR="006C4239" w:rsidRPr="00D51AE5" w:rsidRDefault="006C4239" w:rsidP="006C4239">
            <w:pPr>
              <w:pStyle w:val="ListParagraph"/>
              <w:numPr>
                <w:ilvl w:val="0"/>
                <w:numId w:val="68"/>
              </w:numPr>
              <w:ind w:left="2268" w:hanging="567"/>
              <w:jc w:val="both"/>
            </w:pPr>
            <w:r w:rsidRPr="00D51AE5">
              <w:t>Exportation of the used capital equipment, machinery, spare parts, or source documents or those required for RE development; and</w:t>
            </w:r>
          </w:p>
        </w:tc>
        <w:tc>
          <w:tcPr>
            <w:tcW w:w="3590" w:type="dxa"/>
          </w:tcPr>
          <w:p w14:paraId="189E71AC" w14:textId="77777777" w:rsidR="006C4239" w:rsidRPr="006A1E11" w:rsidRDefault="006C4239" w:rsidP="006A1E11">
            <w:pPr>
              <w:ind w:left="360"/>
              <w:jc w:val="both"/>
            </w:pPr>
          </w:p>
        </w:tc>
        <w:tc>
          <w:tcPr>
            <w:tcW w:w="4267" w:type="dxa"/>
          </w:tcPr>
          <w:p w14:paraId="5455ED89" w14:textId="77777777" w:rsidR="006C4239" w:rsidRPr="006A1E11" w:rsidRDefault="006C4239" w:rsidP="006A1E11">
            <w:pPr>
              <w:ind w:left="360"/>
              <w:jc w:val="both"/>
            </w:pPr>
          </w:p>
        </w:tc>
      </w:tr>
      <w:tr w:rsidR="006C4239" w:rsidRPr="00D51AE5" w14:paraId="1DEF85B4" w14:textId="21A29714" w:rsidTr="007639A7">
        <w:tc>
          <w:tcPr>
            <w:tcW w:w="6044" w:type="dxa"/>
          </w:tcPr>
          <w:p w14:paraId="7CF35422" w14:textId="77777777" w:rsidR="006C4239" w:rsidRPr="00D51AE5" w:rsidRDefault="006C4239" w:rsidP="006C4239">
            <w:pPr>
              <w:pStyle w:val="ListParagraph"/>
              <w:numPr>
                <w:ilvl w:val="0"/>
                <w:numId w:val="68"/>
              </w:numPr>
              <w:ind w:left="2268" w:hanging="567"/>
              <w:jc w:val="both"/>
            </w:pPr>
            <w:r w:rsidRPr="00D51AE5">
              <w:t>For reasons of proven technical obsolescence as may be determined by the DOE.</w:t>
            </w:r>
          </w:p>
        </w:tc>
        <w:tc>
          <w:tcPr>
            <w:tcW w:w="3590" w:type="dxa"/>
          </w:tcPr>
          <w:p w14:paraId="0B543F13" w14:textId="77777777" w:rsidR="006C4239" w:rsidRPr="006A1E11" w:rsidRDefault="006C4239" w:rsidP="006A1E11">
            <w:pPr>
              <w:ind w:left="360"/>
              <w:jc w:val="both"/>
            </w:pPr>
          </w:p>
        </w:tc>
        <w:tc>
          <w:tcPr>
            <w:tcW w:w="4267" w:type="dxa"/>
          </w:tcPr>
          <w:p w14:paraId="758A9B27" w14:textId="77777777" w:rsidR="006C4239" w:rsidRPr="006A1E11" w:rsidRDefault="006C4239" w:rsidP="006A1E11">
            <w:pPr>
              <w:ind w:left="360"/>
              <w:jc w:val="both"/>
            </w:pPr>
          </w:p>
        </w:tc>
      </w:tr>
      <w:tr w:rsidR="006C4239" w:rsidRPr="00D51AE5" w14:paraId="42A84990" w14:textId="2DD68865" w:rsidTr="007639A7">
        <w:tc>
          <w:tcPr>
            <w:tcW w:w="6044" w:type="dxa"/>
          </w:tcPr>
          <w:p w14:paraId="3DD58050" w14:textId="77777777" w:rsidR="006C4239" w:rsidRPr="00D51AE5" w:rsidRDefault="006C4239" w:rsidP="006C4239">
            <w:pPr>
              <w:contextualSpacing/>
              <w:jc w:val="both"/>
              <w:rPr>
                <w:rFonts w:ascii="Arial" w:hAnsi="Arial" w:cs="Arial"/>
              </w:rPr>
            </w:pPr>
            <w:r w:rsidRPr="00D51AE5">
              <w:rPr>
                <w:rFonts w:ascii="Arial" w:hAnsi="Arial" w:cs="Arial"/>
              </w:rPr>
              <w:t>When the aforementioned sale, transfer, or disposition is made under any of the conditions provided for in the foregoing paragraphs after ten (10) years from the date of importation, the sale, transfer, or disposition shall require prior endorsement by the DOE and shall no longer be subject to the payment of taxes and duties.</w:t>
            </w:r>
          </w:p>
        </w:tc>
        <w:tc>
          <w:tcPr>
            <w:tcW w:w="3590" w:type="dxa"/>
          </w:tcPr>
          <w:p w14:paraId="63AE731F" w14:textId="77777777" w:rsidR="006C4239" w:rsidRPr="006A1E11" w:rsidRDefault="006C4239" w:rsidP="006A1E11">
            <w:pPr>
              <w:ind w:left="360"/>
              <w:jc w:val="both"/>
            </w:pPr>
          </w:p>
        </w:tc>
        <w:tc>
          <w:tcPr>
            <w:tcW w:w="4267" w:type="dxa"/>
          </w:tcPr>
          <w:p w14:paraId="1A3B63DC" w14:textId="77777777" w:rsidR="006C4239" w:rsidRPr="006A1E11" w:rsidRDefault="006C4239" w:rsidP="006A1E11">
            <w:pPr>
              <w:ind w:left="360"/>
              <w:jc w:val="both"/>
            </w:pPr>
          </w:p>
        </w:tc>
      </w:tr>
      <w:tr w:rsidR="006C4239" w:rsidRPr="00D51AE5" w14:paraId="2344729C" w14:textId="3D485041" w:rsidTr="007639A7">
        <w:tc>
          <w:tcPr>
            <w:tcW w:w="6044" w:type="dxa"/>
          </w:tcPr>
          <w:p w14:paraId="50B0A205" w14:textId="77777777" w:rsidR="006C4239" w:rsidRPr="00D51AE5" w:rsidRDefault="006C4239" w:rsidP="006C4239">
            <w:pPr>
              <w:contextualSpacing/>
              <w:jc w:val="both"/>
              <w:rPr>
                <w:rFonts w:ascii="Arial" w:hAnsi="Arial" w:cs="Arial"/>
                <w:b/>
                <w:bCs/>
              </w:rPr>
            </w:pPr>
            <w:r w:rsidRPr="00D51AE5">
              <w:rPr>
                <w:rFonts w:ascii="Arial" w:hAnsi="Arial" w:cs="Arial"/>
                <w:b/>
                <w:bCs/>
              </w:rPr>
              <w:t>C. Special Realty Tax Rates on Equipment and Machinery</w:t>
            </w:r>
          </w:p>
        </w:tc>
        <w:tc>
          <w:tcPr>
            <w:tcW w:w="3590" w:type="dxa"/>
          </w:tcPr>
          <w:p w14:paraId="3C50540A" w14:textId="77777777" w:rsidR="006C4239" w:rsidRPr="006A1E11" w:rsidRDefault="006C4239" w:rsidP="006A1E11">
            <w:pPr>
              <w:ind w:left="360"/>
              <w:jc w:val="both"/>
              <w:rPr>
                <w:b/>
                <w:bCs/>
              </w:rPr>
            </w:pPr>
          </w:p>
        </w:tc>
        <w:tc>
          <w:tcPr>
            <w:tcW w:w="4267" w:type="dxa"/>
          </w:tcPr>
          <w:p w14:paraId="1A3BA9C7" w14:textId="77777777" w:rsidR="006C4239" w:rsidRPr="006A1E11" w:rsidRDefault="006C4239" w:rsidP="006A1E11">
            <w:pPr>
              <w:ind w:left="360"/>
              <w:jc w:val="both"/>
              <w:rPr>
                <w:b/>
                <w:bCs/>
              </w:rPr>
            </w:pPr>
          </w:p>
        </w:tc>
      </w:tr>
      <w:tr w:rsidR="006C4239" w:rsidRPr="00D51AE5" w14:paraId="21F38BB1" w14:textId="4E67A689" w:rsidTr="007639A7">
        <w:tc>
          <w:tcPr>
            <w:tcW w:w="6044" w:type="dxa"/>
          </w:tcPr>
          <w:p w14:paraId="062A5B0C" w14:textId="77777777" w:rsidR="006C4239" w:rsidRPr="00D51AE5" w:rsidRDefault="006C4239" w:rsidP="006C4239">
            <w:pPr>
              <w:contextualSpacing/>
              <w:jc w:val="both"/>
              <w:rPr>
                <w:rFonts w:ascii="Arial" w:hAnsi="Arial" w:cs="Arial"/>
              </w:rPr>
            </w:pPr>
            <w:r w:rsidRPr="00D51AE5">
              <w:rPr>
                <w:rFonts w:ascii="Arial" w:hAnsi="Arial" w:cs="Arial"/>
              </w:rPr>
              <w:t>Realty and other taxes on civil works, equipment, machinery, and other improvements by a registered RE Developer actually and exclusively used for RE facilities shall not exceed one and a half percent (1.5%) of their original cost less accumulated normal depreciation or net book value; Provided, that in the case of an integrated RE resource development and Generation Facility as provided under the RE Act, the real property tax shall be imposed only on the power plant.</w:t>
            </w:r>
          </w:p>
        </w:tc>
        <w:tc>
          <w:tcPr>
            <w:tcW w:w="3590" w:type="dxa"/>
          </w:tcPr>
          <w:p w14:paraId="6C2724A7" w14:textId="77777777" w:rsidR="006C4239" w:rsidRPr="006A1E11" w:rsidRDefault="006C4239" w:rsidP="006A1E11">
            <w:pPr>
              <w:ind w:left="360"/>
              <w:jc w:val="both"/>
            </w:pPr>
          </w:p>
        </w:tc>
        <w:tc>
          <w:tcPr>
            <w:tcW w:w="4267" w:type="dxa"/>
          </w:tcPr>
          <w:p w14:paraId="796CC81B" w14:textId="77777777" w:rsidR="006C4239" w:rsidRPr="006A1E11" w:rsidRDefault="006C4239" w:rsidP="006A1E11">
            <w:pPr>
              <w:ind w:left="360"/>
              <w:jc w:val="both"/>
            </w:pPr>
          </w:p>
        </w:tc>
      </w:tr>
      <w:tr w:rsidR="006C4239" w:rsidRPr="00D51AE5" w14:paraId="1600B010" w14:textId="4D77DDF7" w:rsidTr="007639A7">
        <w:tc>
          <w:tcPr>
            <w:tcW w:w="6044" w:type="dxa"/>
          </w:tcPr>
          <w:p w14:paraId="7F630D43" w14:textId="77777777" w:rsidR="006C4239" w:rsidRPr="00D51AE5" w:rsidRDefault="006C4239" w:rsidP="006C4239">
            <w:pPr>
              <w:contextualSpacing/>
              <w:jc w:val="both"/>
              <w:rPr>
                <w:rFonts w:ascii="Arial" w:hAnsi="Arial" w:cs="Arial"/>
              </w:rPr>
            </w:pPr>
            <w:r w:rsidRPr="00D51AE5">
              <w:rPr>
                <w:rFonts w:ascii="Arial" w:hAnsi="Arial" w:cs="Arial"/>
              </w:rPr>
              <w:t>“Original Cost” shall refer to (1) the tangible cost of construction of the power plant component, or of any improvement thereon, regardless of any subsequent transfer of ownership of such power plant; or (2) the assessed value prevailing at the time the RE Act took into effect or at the time of the completion of the power plant project after the effectivity of the RE Act, as the case may be, and in any case assessed at a maximum level of eighty percent (80%), whichever is lower.</w:t>
            </w:r>
          </w:p>
        </w:tc>
        <w:tc>
          <w:tcPr>
            <w:tcW w:w="3590" w:type="dxa"/>
          </w:tcPr>
          <w:p w14:paraId="286BB062" w14:textId="77777777" w:rsidR="006C4239" w:rsidRPr="006A1E11" w:rsidRDefault="006C4239" w:rsidP="006A1E11">
            <w:pPr>
              <w:ind w:left="360"/>
              <w:jc w:val="both"/>
            </w:pPr>
          </w:p>
        </w:tc>
        <w:tc>
          <w:tcPr>
            <w:tcW w:w="4267" w:type="dxa"/>
          </w:tcPr>
          <w:p w14:paraId="0A8B1D95" w14:textId="77777777" w:rsidR="006C4239" w:rsidRPr="006A1E11" w:rsidRDefault="006C4239" w:rsidP="006A1E11">
            <w:pPr>
              <w:ind w:left="360"/>
              <w:jc w:val="both"/>
            </w:pPr>
          </w:p>
        </w:tc>
      </w:tr>
      <w:tr w:rsidR="006C4239" w:rsidRPr="00D51AE5" w14:paraId="6C727471" w14:textId="23E8569D" w:rsidTr="007639A7">
        <w:tc>
          <w:tcPr>
            <w:tcW w:w="6044" w:type="dxa"/>
          </w:tcPr>
          <w:p w14:paraId="214B9A7D" w14:textId="77777777" w:rsidR="006C4239" w:rsidRPr="00D51AE5" w:rsidRDefault="006C4239" w:rsidP="006C4239">
            <w:pPr>
              <w:contextualSpacing/>
              <w:jc w:val="both"/>
              <w:rPr>
                <w:rFonts w:ascii="Arial" w:hAnsi="Arial" w:cs="Arial"/>
              </w:rPr>
            </w:pPr>
            <w:r w:rsidRPr="00D51AE5">
              <w:rPr>
                <w:rFonts w:ascii="Arial" w:hAnsi="Arial" w:cs="Arial"/>
              </w:rPr>
              <w:t>"Net Book Value" shall refer to the amount determined by applying normal depreciation on the original cost based on the estimated useful life.</w:t>
            </w:r>
          </w:p>
        </w:tc>
        <w:tc>
          <w:tcPr>
            <w:tcW w:w="3590" w:type="dxa"/>
          </w:tcPr>
          <w:p w14:paraId="7427F44C" w14:textId="77777777" w:rsidR="006C4239" w:rsidRPr="006A1E11" w:rsidRDefault="006C4239" w:rsidP="006A1E11">
            <w:pPr>
              <w:ind w:left="360"/>
              <w:jc w:val="both"/>
            </w:pPr>
          </w:p>
        </w:tc>
        <w:tc>
          <w:tcPr>
            <w:tcW w:w="4267" w:type="dxa"/>
          </w:tcPr>
          <w:p w14:paraId="234F7E82" w14:textId="77777777" w:rsidR="006C4239" w:rsidRPr="006A1E11" w:rsidRDefault="006C4239" w:rsidP="006A1E11">
            <w:pPr>
              <w:ind w:left="360"/>
              <w:jc w:val="both"/>
            </w:pPr>
          </w:p>
        </w:tc>
      </w:tr>
      <w:tr w:rsidR="006C4239" w:rsidRPr="00D51AE5" w14:paraId="34D59A18" w14:textId="770B86FF" w:rsidTr="007639A7">
        <w:tc>
          <w:tcPr>
            <w:tcW w:w="6044" w:type="dxa"/>
          </w:tcPr>
          <w:p w14:paraId="2C041CE7" w14:textId="77777777" w:rsidR="006C4239" w:rsidRPr="00D51AE5" w:rsidRDefault="006C4239" w:rsidP="006C4239">
            <w:pPr>
              <w:contextualSpacing/>
              <w:jc w:val="both"/>
              <w:rPr>
                <w:rFonts w:ascii="Arial" w:hAnsi="Arial" w:cs="Arial"/>
                <w:b/>
                <w:bCs/>
              </w:rPr>
            </w:pPr>
            <w:r w:rsidRPr="00D51AE5">
              <w:rPr>
                <w:rFonts w:ascii="Arial" w:hAnsi="Arial" w:cs="Arial"/>
                <w:b/>
                <w:bCs/>
              </w:rPr>
              <w:t>D. Net Operating Loss Carry-Over (NOLCO)</w:t>
            </w:r>
          </w:p>
        </w:tc>
        <w:tc>
          <w:tcPr>
            <w:tcW w:w="3590" w:type="dxa"/>
          </w:tcPr>
          <w:p w14:paraId="0F47BE91" w14:textId="77777777" w:rsidR="006C4239" w:rsidRPr="006A1E11" w:rsidRDefault="006C4239" w:rsidP="006A1E11">
            <w:pPr>
              <w:ind w:left="360"/>
              <w:jc w:val="both"/>
              <w:rPr>
                <w:b/>
                <w:bCs/>
              </w:rPr>
            </w:pPr>
          </w:p>
        </w:tc>
        <w:tc>
          <w:tcPr>
            <w:tcW w:w="4267" w:type="dxa"/>
          </w:tcPr>
          <w:p w14:paraId="1046E6A4" w14:textId="77777777" w:rsidR="006C4239" w:rsidRPr="006A1E11" w:rsidRDefault="006C4239" w:rsidP="006A1E11">
            <w:pPr>
              <w:ind w:left="360"/>
              <w:jc w:val="both"/>
              <w:rPr>
                <w:b/>
                <w:bCs/>
              </w:rPr>
            </w:pPr>
          </w:p>
        </w:tc>
      </w:tr>
      <w:tr w:rsidR="006C4239" w:rsidRPr="00D51AE5" w14:paraId="69D59318" w14:textId="6F6C4280" w:rsidTr="007639A7">
        <w:tc>
          <w:tcPr>
            <w:tcW w:w="6044" w:type="dxa"/>
          </w:tcPr>
          <w:p w14:paraId="2DBA943C" w14:textId="77777777" w:rsidR="006C4239" w:rsidRPr="00D51AE5" w:rsidRDefault="006C4239" w:rsidP="006C4239">
            <w:pPr>
              <w:contextualSpacing/>
              <w:jc w:val="both"/>
              <w:rPr>
                <w:rFonts w:ascii="Arial" w:hAnsi="Arial" w:cs="Arial"/>
              </w:rPr>
            </w:pPr>
            <w:r w:rsidRPr="00D51AE5">
              <w:rPr>
                <w:rFonts w:ascii="Arial" w:hAnsi="Arial" w:cs="Arial"/>
              </w:rPr>
              <w:t>The NOLCO of the RE Developer during the first three (3) years from the start of commercial operation shall be carried over as a deduction from gross income for the next seven (7) consecutive taxable years immediately following the year of such loss, subject to the following conditions:</w:t>
            </w:r>
          </w:p>
        </w:tc>
        <w:tc>
          <w:tcPr>
            <w:tcW w:w="3590" w:type="dxa"/>
          </w:tcPr>
          <w:p w14:paraId="636143C1" w14:textId="77777777" w:rsidR="006C4239" w:rsidRPr="006A1E11" w:rsidRDefault="006C4239" w:rsidP="006A1E11">
            <w:pPr>
              <w:ind w:left="360"/>
              <w:jc w:val="both"/>
            </w:pPr>
          </w:p>
        </w:tc>
        <w:tc>
          <w:tcPr>
            <w:tcW w:w="4267" w:type="dxa"/>
          </w:tcPr>
          <w:p w14:paraId="27400F74" w14:textId="77777777" w:rsidR="006C4239" w:rsidRPr="006A1E11" w:rsidRDefault="006C4239" w:rsidP="006A1E11">
            <w:pPr>
              <w:ind w:left="360"/>
              <w:jc w:val="both"/>
            </w:pPr>
          </w:p>
        </w:tc>
      </w:tr>
      <w:tr w:rsidR="006C4239" w:rsidRPr="00D51AE5" w14:paraId="54B4EF51" w14:textId="3BADE691" w:rsidTr="007639A7">
        <w:tc>
          <w:tcPr>
            <w:tcW w:w="6044" w:type="dxa"/>
          </w:tcPr>
          <w:p w14:paraId="4178DCA1" w14:textId="77777777" w:rsidR="006C4239" w:rsidRPr="00D51AE5" w:rsidRDefault="006C4239" w:rsidP="006C4239">
            <w:pPr>
              <w:pStyle w:val="ListParagraph"/>
              <w:numPr>
                <w:ilvl w:val="0"/>
                <w:numId w:val="68"/>
              </w:numPr>
              <w:ind w:left="2127" w:hanging="567"/>
              <w:jc w:val="both"/>
            </w:pPr>
            <w:r w:rsidRPr="00D51AE5">
              <w:t>The NOLCO had not been previously offset as a deduction from gross income; and</w:t>
            </w:r>
          </w:p>
        </w:tc>
        <w:tc>
          <w:tcPr>
            <w:tcW w:w="3590" w:type="dxa"/>
          </w:tcPr>
          <w:p w14:paraId="3E076ADB" w14:textId="77777777" w:rsidR="006C4239" w:rsidRPr="006A1E11" w:rsidRDefault="006C4239" w:rsidP="006A1E11">
            <w:pPr>
              <w:ind w:left="360"/>
              <w:jc w:val="both"/>
            </w:pPr>
          </w:p>
        </w:tc>
        <w:tc>
          <w:tcPr>
            <w:tcW w:w="4267" w:type="dxa"/>
          </w:tcPr>
          <w:p w14:paraId="197312B5" w14:textId="77777777" w:rsidR="006C4239" w:rsidRPr="006A1E11" w:rsidRDefault="006C4239" w:rsidP="006A1E11">
            <w:pPr>
              <w:ind w:left="360"/>
              <w:jc w:val="both"/>
            </w:pPr>
          </w:p>
        </w:tc>
      </w:tr>
      <w:tr w:rsidR="006C4239" w:rsidRPr="00D51AE5" w14:paraId="13970BB6" w14:textId="3349ED8C" w:rsidTr="007639A7">
        <w:tc>
          <w:tcPr>
            <w:tcW w:w="6044" w:type="dxa"/>
          </w:tcPr>
          <w:p w14:paraId="3C4DE6AB" w14:textId="77777777" w:rsidR="006C4239" w:rsidRPr="00D51AE5" w:rsidRDefault="006C4239" w:rsidP="006C4239">
            <w:pPr>
              <w:pStyle w:val="ListParagraph"/>
              <w:numPr>
                <w:ilvl w:val="0"/>
                <w:numId w:val="68"/>
              </w:numPr>
              <w:ind w:left="2127" w:hanging="567"/>
              <w:jc w:val="both"/>
            </w:pPr>
            <w:r w:rsidRPr="00D51AE5">
              <w:t xml:space="preserve">The loss should be a result of the operation and not from the </w:t>
            </w:r>
            <w:proofErr w:type="spellStart"/>
            <w:r w:rsidRPr="00D51AE5">
              <w:t>availment</w:t>
            </w:r>
            <w:proofErr w:type="spellEnd"/>
            <w:r w:rsidRPr="00D51AE5">
              <w:t xml:space="preserve"> of incentives provided for in the RE Act.</w:t>
            </w:r>
          </w:p>
        </w:tc>
        <w:tc>
          <w:tcPr>
            <w:tcW w:w="3590" w:type="dxa"/>
          </w:tcPr>
          <w:p w14:paraId="04AF9F97" w14:textId="77777777" w:rsidR="006C4239" w:rsidRPr="006A1E11" w:rsidRDefault="006C4239" w:rsidP="006A1E11">
            <w:pPr>
              <w:ind w:left="360"/>
              <w:jc w:val="both"/>
            </w:pPr>
          </w:p>
        </w:tc>
        <w:tc>
          <w:tcPr>
            <w:tcW w:w="4267" w:type="dxa"/>
          </w:tcPr>
          <w:p w14:paraId="362AD559" w14:textId="77777777" w:rsidR="006C4239" w:rsidRPr="006A1E11" w:rsidRDefault="006C4239" w:rsidP="006A1E11">
            <w:pPr>
              <w:ind w:left="360"/>
              <w:jc w:val="both"/>
            </w:pPr>
          </w:p>
        </w:tc>
      </w:tr>
      <w:tr w:rsidR="006C4239" w:rsidRPr="00D51AE5" w14:paraId="37FFD8FC" w14:textId="44696215" w:rsidTr="007639A7">
        <w:tc>
          <w:tcPr>
            <w:tcW w:w="6044" w:type="dxa"/>
          </w:tcPr>
          <w:p w14:paraId="73023D8A" w14:textId="77777777" w:rsidR="006C4239" w:rsidRPr="00D51AE5" w:rsidRDefault="006C4239" w:rsidP="006C4239">
            <w:pPr>
              <w:contextualSpacing/>
              <w:jc w:val="both"/>
              <w:rPr>
                <w:rFonts w:ascii="Arial" w:hAnsi="Arial" w:cs="Arial"/>
                <w:b/>
                <w:bCs/>
              </w:rPr>
            </w:pPr>
            <w:r w:rsidRPr="00D51AE5">
              <w:rPr>
                <w:rFonts w:ascii="Arial" w:hAnsi="Arial" w:cs="Arial"/>
                <w:b/>
                <w:bCs/>
              </w:rPr>
              <w:t>E. Corporate Tax Rate</w:t>
            </w:r>
          </w:p>
        </w:tc>
        <w:tc>
          <w:tcPr>
            <w:tcW w:w="3590" w:type="dxa"/>
          </w:tcPr>
          <w:p w14:paraId="1550939E" w14:textId="77777777" w:rsidR="006C4239" w:rsidRPr="006A1E11" w:rsidRDefault="006C4239" w:rsidP="006A1E11">
            <w:pPr>
              <w:ind w:left="360"/>
              <w:jc w:val="both"/>
              <w:rPr>
                <w:b/>
                <w:bCs/>
              </w:rPr>
            </w:pPr>
          </w:p>
        </w:tc>
        <w:tc>
          <w:tcPr>
            <w:tcW w:w="4267" w:type="dxa"/>
          </w:tcPr>
          <w:p w14:paraId="19E48DB5" w14:textId="77777777" w:rsidR="006C4239" w:rsidRPr="006A1E11" w:rsidRDefault="006C4239" w:rsidP="006A1E11">
            <w:pPr>
              <w:ind w:left="360"/>
              <w:jc w:val="both"/>
              <w:rPr>
                <w:b/>
                <w:bCs/>
              </w:rPr>
            </w:pPr>
          </w:p>
        </w:tc>
      </w:tr>
      <w:tr w:rsidR="006C4239" w:rsidRPr="00D51AE5" w14:paraId="7EA38732" w14:textId="706FBF52" w:rsidTr="007639A7">
        <w:tc>
          <w:tcPr>
            <w:tcW w:w="6044" w:type="dxa"/>
          </w:tcPr>
          <w:p w14:paraId="5F7AA1F1" w14:textId="77777777" w:rsidR="006C4239" w:rsidRPr="00D51AE5" w:rsidRDefault="006C4239" w:rsidP="006C4239">
            <w:pPr>
              <w:contextualSpacing/>
              <w:jc w:val="both"/>
              <w:rPr>
                <w:rFonts w:ascii="Arial" w:hAnsi="Arial" w:cs="Arial"/>
                <w:b/>
                <w:bCs/>
              </w:rPr>
            </w:pPr>
            <w:r w:rsidRPr="00D51AE5">
              <w:rPr>
                <w:rFonts w:ascii="Arial" w:hAnsi="Arial" w:cs="Arial"/>
              </w:rPr>
              <w:t xml:space="preserve">After </w:t>
            </w:r>
            <w:proofErr w:type="spellStart"/>
            <w:r w:rsidRPr="00D51AE5">
              <w:rPr>
                <w:rFonts w:ascii="Arial" w:hAnsi="Arial" w:cs="Arial"/>
              </w:rPr>
              <w:t>availment</w:t>
            </w:r>
            <w:proofErr w:type="spellEnd"/>
            <w:r w:rsidRPr="00D51AE5">
              <w:rPr>
                <w:rFonts w:ascii="Arial" w:hAnsi="Arial" w:cs="Arial"/>
              </w:rPr>
              <w:t xml:space="preserve"> of the ITH, all Registered RE Developers shall pay a corporate tax of ten percent (10%) on their net taxable income as defined in the National Internal Revenue Code (NIRC) of 1997, as amended; Provided, that the RE Developers shall pass on the savings to the end-users in the form of lower power rates.</w:t>
            </w:r>
          </w:p>
        </w:tc>
        <w:tc>
          <w:tcPr>
            <w:tcW w:w="3590" w:type="dxa"/>
          </w:tcPr>
          <w:p w14:paraId="767BB53F" w14:textId="77777777" w:rsidR="006C4239" w:rsidRPr="006A1E11" w:rsidRDefault="006C4239" w:rsidP="006A1E11">
            <w:pPr>
              <w:ind w:left="360"/>
              <w:jc w:val="both"/>
            </w:pPr>
          </w:p>
        </w:tc>
        <w:tc>
          <w:tcPr>
            <w:tcW w:w="4267" w:type="dxa"/>
          </w:tcPr>
          <w:p w14:paraId="0A0B9AA3" w14:textId="77777777" w:rsidR="006C4239" w:rsidRPr="006A1E11" w:rsidRDefault="006C4239" w:rsidP="006A1E11">
            <w:pPr>
              <w:ind w:left="360"/>
              <w:jc w:val="both"/>
            </w:pPr>
          </w:p>
        </w:tc>
      </w:tr>
      <w:tr w:rsidR="006C4239" w:rsidRPr="00D51AE5" w14:paraId="5A51E834" w14:textId="21B27121" w:rsidTr="007639A7">
        <w:tc>
          <w:tcPr>
            <w:tcW w:w="6044" w:type="dxa"/>
          </w:tcPr>
          <w:p w14:paraId="1AFC40E2" w14:textId="77777777" w:rsidR="006C4239" w:rsidRPr="00D51AE5" w:rsidRDefault="006C4239" w:rsidP="006C4239">
            <w:pPr>
              <w:contextualSpacing/>
              <w:jc w:val="both"/>
              <w:rPr>
                <w:rFonts w:ascii="Arial" w:hAnsi="Arial" w:cs="Arial"/>
                <w:b/>
                <w:bCs/>
              </w:rPr>
            </w:pPr>
            <w:r w:rsidRPr="00D51AE5">
              <w:rPr>
                <w:rFonts w:ascii="Arial" w:hAnsi="Arial" w:cs="Arial"/>
              </w:rPr>
              <w:t>All RE Developers that acquire, operate, and/or administer existing RE facilities that were or have been in commercial operation for more than seven (7) years, upon the effectivity of the RE Act, shall pay a corporate tax rate of ten percent (10%) on their net taxable income, upon registration with the DOE.</w:t>
            </w:r>
          </w:p>
        </w:tc>
        <w:tc>
          <w:tcPr>
            <w:tcW w:w="3590" w:type="dxa"/>
          </w:tcPr>
          <w:p w14:paraId="50AE3508" w14:textId="77777777" w:rsidR="006C4239" w:rsidRPr="006A1E11" w:rsidRDefault="006C4239" w:rsidP="006A1E11">
            <w:pPr>
              <w:ind w:left="360"/>
              <w:jc w:val="both"/>
            </w:pPr>
          </w:p>
        </w:tc>
        <w:tc>
          <w:tcPr>
            <w:tcW w:w="4267" w:type="dxa"/>
          </w:tcPr>
          <w:p w14:paraId="55AAD35B" w14:textId="77777777" w:rsidR="006C4239" w:rsidRPr="006A1E11" w:rsidRDefault="006C4239" w:rsidP="006A1E11">
            <w:pPr>
              <w:ind w:left="360"/>
              <w:jc w:val="both"/>
            </w:pPr>
          </w:p>
        </w:tc>
      </w:tr>
      <w:tr w:rsidR="006C4239" w:rsidRPr="00D51AE5" w14:paraId="76B105F6" w14:textId="1065136A" w:rsidTr="007639A7">
        <w:tc>
          <w:tcPr>
            <w:tcW w:w="6044" w:type="dxa"/>
          </w:tcPr>
          <w:p w14:paraId="168490BB" w14:textId="77777777" w:rsidR="006C4239" w:rsidRPr="00D51AE5" w:rsidRDefault="006C4239" w:rsidP="006C4239">
            <w:pPr>
              <w:contextualSpacing/>
              <w:jc w:val="both"/>
              <w:rPr>
                <w:rFonts w:ascii="Arial" w:hAnsi="Arial" w:cs="Arial"/>
                <w:b/>
                <w:bCs/>
              </w:rPr>
            </w:pPr>
            <w:r w:rsidRPr="00D51AE5">
              <w:rPr>
                <w:rFonts w:ascii="Arial" w:hAnsi="Arial" w:cs="Arial"/>
                <w:b/>
                <w:bCs/>
              </w:rPr>
              <w:t>F. Accelerated Depreciation</w:t>
            </w:r>
          </w:p>
        </w:tc>
        <w:tc>
          <w:tcPr>
            <w:tcW w:w="3590" w:type="dxa"/>
          </w:tcPr>
          <w:p w14:paraId="41E243FF" w14:textId="77777777" w:rsidR="006C4239" w:rsidRPr="006A1E11" w:rsidRDefault="006C4239" w:rsidP="006A1E11">
            <w:pPr>
              <w:ind w:left="360"/>
              <w:jc w:val="both"/>
              <w:rPr>
                <w:b/>
                <w:bCs/>
              </w:rPr>
            </w:pPr>
          </w:p>
        </w:tc>
        <w:tc>
          <w:tcPr>
            <w:tcW w:w="4267" w:type="dxa"/>
          </w:tcPr>
          <w:p w14:paraId="10A67A84" w14:textId="77777777" w:rsidR="006C4239" w:rsidRPr="006A1E11" w:rsidRDefault="006C4239" w:rsidP="006A1E11">
            <w:pPr>
              <w:ind w:left="360"/>
              <w:jc w:val="both"/>
              <w:rPr>
                <w:b/>
                <w:bCs/>
              </w:rPr>
            </w:pPr>
          </w:p>
        </w:tc>
      </w:tr>
      <w:tr w:rsidR="006C4239" w:rsidRPr="00D51AE5" w14:paraId="2CA0AF14" w14:textId="4524E79E" w:rsidTr="007639A7">
        <w:tc>
          <w:tcPr>
            <w:tcW w:w="6044" w:type="dxa"/>
          </w:tcPr>
          <w:p w14:paraId="261271B3" w14:textId="77777777" w:rsidR="006C4239" w:rsidRPr="00D51AE5" w:rsidRDefault="006C4239" w:rsidP="006C4239">
            <w:pPr>
              <w:contextualSpacing/>
              <w:jc w:val="both"/>
              <w:rPr>
                <w:rFonts w:ascii="Arial" w:hAnsi="Arial" w:cs="Arial"/>
                <w:b/>
                <w:bCs/>
              </w:rPr>
            </w:pPr>
            <w:r w:rsidRPr="00D51AE5">
              <w:rPr>
                <w:rFonts w:ascii="Arial" w:hAnsi="Arial" w:cs="Arial"/>
              </w:rPr>
              <w:t>If an RE project fails to receive an ITH before full operation, the RE Developer may apply for accelerated depreciation in its tax books and be taxed on the basis of the same.</w:t>
            </w:r>
          </w:p>
        </w:tc>
        <w:tc>
          <w:tcPr>
            <w:tcW w:w="3590" w:type="dxa"/>
          </w:tcPr>
          <w:p w14:paraId="11B141A5" w14:textId="77777777" w:rsidR="006C4239" w:rsidRPr="006A1E11" w:rsidRDefault="006C4239" w:rsidP="006A1E11">
            <w:pPr>
              <w:ind w:left="360"/>
              <w:jc w:val="both"/>
            </w:pPr>
          </w:p>
        </w:tc>
        <w:tc>
          <w:tcPr>
            <w:tcW w:w="4267" w:type="dxa"/>
          </w:tcPr>
          <w:p w14:paraId="33D65FA8" w14:textId="77777777" w:rsidR="006C4239" w:rsidRPr="006A1E11" w:rsidRDefault="006C4239" w:rsidP="006A1E11">
            <w:pPr>
              <w:ind w:left="360"/>
              <w:jc w:val="both"/>
            </w:pPr>
          </w:p>
        </w:tc>
      </w:tr>
      <w:tr w:rsidR="006C4239" w:rsidRPr="00D51AE5" w14:paraId="7A9B39CD" w14:textId="741E9A38" w:rsidTr="007639A7">
        <w:tc>
          <w:tcPr>
            <w:tcW w:w="6044" w:type="dxa"/>
          </w:tcPr>
          <w:p w14:paraId="05932FBE" w14:textId="77777777" w:rsidR="006C4239" w:rsidRPr="00D51AE5" w:rsidRDefault="006C4239" w:rsidP="006C4239">
            <w:pPr>
              <w:contextualSpacing/>
              <w:jc w:val="both"/>
              <w:rPr>
                <w:rFonts w:ascii="Arial" w:hAnsi="Arial" w:cs="Arial"/>
              </w:rPr>
            </w:pPr>
            <w:r w:rsidRPr="00D51AE5">
              <w:rPr>
                <w:rFonts w:ascii="Arial" w:hAnsi="Arial" w:cs="Arial"/>
              </w:rPr>
              <w:t>If an RE Developer applies for accelerated depreciation, the project or its expansions shall no longer be eligible to avail of the ITH.</w:t>
            </w:r>
            <w:r w:rsidRPr="00D51AE5">
              <w:rPr>
                <w:rFonts w:ascii="Arial" w:hAnsi="Arial" w:cs="Arial"/>
                <w:b/>
                <w:bCs/>
              </w:rPr>
              <w:t xml:space="preserve"> </w:t>
            </w:r>
            <w:r w:rsidRPr="00D51AE5">
              <w:rPr>
                <w:rFonts w:ascii="Arial" w:hAnsi="Arial" w:cs="Arial"/>
              </w:rPr>
              <w:t>Plant, machinery and equipment that are reasonably needed and actually used for the exploration, development and utilization of RE Resources may be depreciated using a rate not exceeding twice the rate which would have been used had the annual allowance been computed in accordance with the rules and regulations prescribed by the Department of Finance (DOF) and the provisions of the NIRC of 1997, as amended. Any of the following methods of accelerated depreciation may be adopted:</w:t>
            </w:r>
          </w:p>
        </w:tc>
        <w:tc>
          <w:tcPr>
            <w:tcW w:w="3590" w:type="dxa"/>
          </w:tcPr>
          <w:p w14:paraId="367E1708" w14:textId="77777777" w:rsidR="006C4239" w:rsidRPr="006A1E11" w:rsidRDefault="006C4239" w:rsidP="006A1E11">
            <w:pPr>
              <w:ind w:left="360"/>
              <w:jc w:val="both"/>
            </w:pPr>
          </w:p>
        </w:tc>
        <w:tc>
          <w:tcPr>
            <w:tcW w:w="4267" w:type="dxa"/>
          </w:tcPr>
          <w:p w14:paraId="550F4AB5" w14:textId="77777777" w:rsidR="006C4239" w:rsidRPr="006A1E11" w:rsidRDefault="006C4239" w:rsidP="006A1E11">
            <w:pPr>
              <w:ind w:left="360"/>
              <w:jc w:val="both"/>
            </w:pPr>
          </w:p>
        </w:tc>
      </w:tr>
      <w:tr w:rsidR="006C4239" w:rsidRPr="00D51AE5" w14:paraId="446C89EF" w14:textId="694F8131" w:rsidTr="007639A7">
        <w:tc>
          <w:tcPr>
            <w:tcW w:w="6044" w:type="dxa"/>
          </w:tcPr>
          <w:p w14:paraId="60AF696E" w14:textId="77777777" w:rsidR="006C4239" w:rsidRPr="00D51AE5" w:rsidRDefault="006C4239" w:rsidP="006C4239">
            <w:pPr>
              <w:contextualSpacing/>
              <w:jc w:val="both"/>
              <w:rPr>
                <w:rFonts w:ascii="Arial" w:hAnsi="Arial" w:cs="Arial"/>
                <w:b/>
                <w:bCs/>
              </w:rPr>
            </w:pPr>
            <w:r w:rsidRPr="00D51AE5">
              <w:rPr>
                <w:rFonts w:ascii="Arial" w:hAnsi="Arial" w:cs="Arial"/>
              </w:rPr>
              <w:t>(a)Declining balance method; and</w:t>
            </w:r>
          </w:p>
        </w:tc>
        <w:tc>
          <w:tcPr>
            <w:tcW w:w="3590" w:type="dxa"/>
          </w:tcPr>
          <w:p w14:paraId="0FB2D73B" w14:textId="77777777" w:rsidR="006C4239" w:rsidRPr="006A1E11" w:rsidRDefault="006C4239" w:rsidP="006A1E11">
            <w:pPr>
              <w:ind w:left="360"/>
              <w:jc w:val="both"/>
            </w:pPr>
          </w:p>
        </w:tc>
        <w:tc>
          <w:tcPr>
            <w:tcW w:w="4267" w:type="dxa"/>
          </w:tcPr>
          <w:p w14:paraId="2A1C2B57" w14:textId="77777777" w:rsidR="006C4239" w:rsidRPr="006A1E11" w:rsidRDefault="006C4239" w:rsidP="006A1E11">
            <w:pPr>
              <w:ind w:left="360"/>
              <w:jc w:val="both"/>
            </w:pPr>
          </w:p>
        </w:tc>
      </w:tr>
      <w:tr w:rsidR="006C4239" w:rsidRPr="00D51AE5" w14:paraId="492CDEBF" w14:textId="4481A276" w:rsidTr="007639A7">
        <w:tc>
          <w:tcPr>
            <w:tcW w:w="6044" w:type="dxa"/>
          </w:tcPr>
          <w:p w14:paraId="12F48206" w14:textId="77777777" w:rsidR="006C4239" w:rsidRPr="00D51AE5" w:rsidRDefault="006C4239" w:rsidP="006C4239">
            <w:pPr>
              <w:contextualSpacing/>
              <w:jc w:val="both"/>
              <w:rPr>
                <w:rFonts w:ascii="Arial" w:hAnsi="Arial" w:cs="Arial"/>
                <w:b/>
                <w:bCs/>
              </w:rPr>
            </w:pPr>
            <w:r w:rsidRPr="00D51AE5">
              <w:rPr>
                <w:rFonts w:ascii="Arial" w:hAnsi="Arial" w:cs="Arial"/>
              </w:rPr>
              <w:t>(b)Sum-of-the years digit method.</w:t>
            </w:r>
          </w:p>
        </w:tc>
        <w:tc>
          <w:tcPr>
            <w:tcW w:w="3590" w:type="dxa"/>
          </w:tcPr>
          <w:p w14:paraId="2472AEA6" w14:textId="77777777" w:rsidR="006C4239" w:rsidRPr="006A1E11" w:rsidRDefault="006C4239" w:rsidP="006A1E11">
            <w:pPr>
              <w:ind w:left="360"/>
              <w:jc w:val="both"/>
            </w:pPr>
          </w:p>
        </w:tc>
        <w:tc>
          <w:tcPr>
            <w:tcW w:w="4267" w:type="dxa"/>
          </w:tcPr>
          <w:p w14:paraId="3C4274EA" w14:textId="77777777" w:rsidR="006C4239" w:rsidRPr="006A1E11" w:rsidRDefault="006C4239" w:rsidP="006A1E11">
            <w:pPr>
              <w:ind w:left="360"/>
              <w:jc w:val="both"/>
            </w:pPr>
          </w:p>
        </w:tc>
      </w:tr>
      <w:tr w:rsidR="006C4239" w:rsidRPr="00D51AE5" w14:paraId="45123577" w14:textId="5F3C2570" w:rsidTr="007639A7">
        <w:tc>
          <w:tcPr>
            <w:tcW w:w="6044" w:type="dxa"/>
          </w:tcPr>
          <w:p w14:paraId="04FEFBE5" w14:textId="77777777" w:rsidR="006C4239" w:rsidRPr="00D51AE5" w:rsidRDefault="006C4239" w:rsidP="006C4239">
            <w:pPr>
              <w:contextualSpacing/>
              <w:jc w:val="both"/>
              <w:rPr>
                <w:rFonts w:ascii="Arial" w:hAnsi="Arial" w:cs="Arial"/>
                <w:b/>
                <w:bCs/>
              </w:rPr>
            </w:pPr>
            <w:r w:rsidRPr="00D51AE5">
              <w:rPr>
                <w:rFonts w:ascii="Arial" w:hAnsi="Arial" w:cs="Arial"/>
                <w:b/>
                <w:bCs/>
              </w:rPr>
              <w:t>G. Zero Percent Value-Added Tax Rate</w:t>
            </w:r>
          </w:p>
        </w:tc>
        <w:tc>
          <w:tcPr>
            <w:tcW w:w="3590" w:type="dxa"/>
          </w:tcPr>
          <w:p w14:paraId="638542D0" w14:textId="77777777" w:rsidR="006C4239" w:rsidRPr="006A1E11" w:rsidRDefault="006C4239" w:rsidP="006A1E11">
            <w:pPr>
              <w:ind w:left="360"/>
              <w:jc w:val="both"/>
              <w:rPr>
                <w:b/>
                <w:bCs/>
              </w:rPr>
            </w:pPr>
          </w:p>
        </w:tc>
        <w:tc>
          <w:tcPr>
            <w:tcW w:w="4267" w:type="dxa"/>
          </w:tcPr>
          <w:p w14:paraId="21751B06" w14:textId="77777777" w:rsidR="006C4239" w:rsidRPr="006A1E11" w:rsidRDefault="006C4239" w:rsidP="006A1E11">
            <w:pPr>
              <w:ind w:left="360"/>
              <w:jc w:val="both"/>
              <w:rPr>
                <w:b/>
                <w:bCs/>
              </w:rPr>
            </w:pPr>
          </w:p>
        </w:tc>
      </w:tr>
      <w:tr w:rsidR="006C4239" w:rsidRPr="00D51AE5" w14:paraId="48EE7B29" w14:textId="6E36BC87" w:rsidTr="007639A7">
        <w:tc>
          <w:tcPr>
            <w:tcW w:w="6044" w:type="dxa"/>
          </w:tcPr>
          <w:p w14:paraId="50FE5ACE" w14:textId="77777777" w:rsidR="006C4239" w:rsidRPr="00D51AE5" w:rsidRDefault="006C4239" w:rsidP="006C4239">
            <w:pPr>
              <w:contextualSpacing/>
              <w:jc w:val="both"/>
              <w:rPr>
                <w:rFonts w:ascii="Arial" w:hAnsi="Arial" w:cs="Arial"/>
                <w:b/>
                <w:bCs/>
              </w:rPr>
            </w:pPr>
            <w:r w:rsidRPr="00D51AE5">
              <w:rPr>
                <w:rFonts w:ascii="Arial" w:hAnsi="Arial" w:cs="Arial"/>
              </w:rPr>
              <w:t>The following transactions/activities shall be subject to zero percent (0%) value-added tax (VAT), pursuant to the NIRC of 1997, as amended:</w:t>
            </w:r>
            <w:r w:rsidRPr="00D51AE5">
              <w:rPr>
                <w:rFonts w:ascii="Arial" w:hAnsi="Arial" w:cs="Arial"/>
                <w:b/>
                <w:bCs/>
              </w:rPr>
              <w:t xml:space="preserve"> </w:t>
            </w:r>
            <w:r w:rsidRPr="00D51AE5">
              <w:rPr>
                <w:rFonts w:ascii="Arial" w:hAnsi="Arial" w:cs="Arial"/>
              </w:rPr>
              <w:t>to the NIRC of 1997, as amended:</w:t>
            </w:r>
          </w:p>
        </w:tc>
        <w:tc>
          <w:tcPr>
            <w:tcW w:w="3590" w:type="dxa"/>
          </w:tcPr>
          <w:p w14:paraId="5B560D8E" w14:textId="77777777" w:rsidR="006C4239" w:rsidRPr="006A1E11" w:rsidRDefault="006C4239" w:rsidP="006A1E11">
            <w:pPr>
              <w:ind w:left="360"/>
              <w:jc w:val="both"/>
            </w:pPr>
          </w:p>
        </w:tc>
        <w:tc>
          <w:tcPr>
            <w:tcW w:w="4267" w:type="dxa"/>
          </w:tcPr>
          <w:p w14:paraId="44EB8BE4" w14:textId="77777777" w:rsidR="006C4239" w:rsidRPr="006A1E11" w:rsidRDefault="006C4239" w:rsidP="006A1E11">
            <w:pPr>
              <w:ind w:left="360"/>
              <w:jc w:val="both"/>
            </w:pPr>
          </w:p>
        </w:tc>
      </w:tr>
      <w:tr w:rsidR="006C4239" w:rsidRPr="00D51AE5" w14:paraId="2E40F5FD" w14:textId="0F5F57F7" w:rsidTr="007639A7">
        <w:tc>
          <w:tcPr>
            <w:tcW w:w="6044" w:type="dxa"/>
          </w:tcPr>
          <w:p w14:paraId="645865A9" w14:textId="77777777" w:rsidR="006C4239" w:rsidRPr="00D51AE5" w:rsidRDefault="006C4239" w:rsidP="006C4239">
            <w:pPr>
              <w:pStyle w:val="ListParagraph"/>
              <w:numPr>
                <w:ilvl w:val="0"/>
                <w:numId w:val="68"/>
              </w:numPr>
              <w:ind w:left="1560"/>
              <w:jc w:val="both"/>
            </w:pPr>
            <w:r w:rsidRPr="00D51AE5">
              <w:t>Sale of fuel from RE sources or power generated from renewable sources of energy such as, but not limited to, biomass, solar, wind, hydropower, geothermal, ocean energy, and other emerging energy sources using technologies such as fuel cells and hydrogen fuels;</w:t>
            </w:r>
          </w:p>
        </w:tc>
        <w:tc>
          <w:tcPr>
            <w:tcW w:w="3590" w:type="dxa"/>
          </w:tcPr>
          <w:p w14:paraId="3DE21DCE" w14:textId="77777777" w:rsidR="006C4239" w:rsidRPr="006A1E11" w:rsidRDefault="006C4239" w:rsidP="006A1E11">
            <w:pPr>
              <w:ind w:left="360"/>
              <w:jc w:val="both"/>
            </w:pPr>
          </w:p>
        </w:tc>
        <w:tc>
          <w:tcPr>
            <w:tcW w:w="4267" w:type="dxa"/>
          </w:tcPr>
          <w:p w14:paraId="57BE4F6F" w14:textId="77777777" w:rsidR="006C4239" w:rsidRPr="006A1E11" w:rsidRDefault="006C4239" w:rsidP="006A1E11">
            <w:pPr>
              <w:ind w:left="360"/>
              <w:jc w:val="both"/>
            </w:pPr>
          </w:p>
        </w:tc>
      </w:tr>
      <w:tr w:rsidR="006C4239" w:rsidRPr="00D51AE5" w14:paraId="12CA7554" w14:textId="00C5A723" w:rsidTr="007639A7">
        <w:tc>
          <w:tcPr>
            <w:tcW w:w="6044" w:type="dxa"/>
          </w:tcPr>
          <w:p w14:paraId="0D29AC7A" w14:textId="77777777" w:rsidR="006C4239" w:rsidRPr="00D51AE5" w:rsidRDefault="006C4239" w:rsidP="006C4239">
            <w:pPr>
              <w:pStyle w:val="ListParagraph"/>
              <w:numPr>
                <w:ilvl w:val="0"/>
                <w:numId w:val="68"/>
              </w:numPr>
              <w:ind w:left="1560"/>
              <w:jc w:val="both"/>
            </w:pPr>
            <w:r w:rsidRPr="00D51AE5">
              <w:t>Purchase of local goods, properties and services needed for the development, construction, and installation of the plant facilities of RE Developers; and</w:t>
            </w:r>
          </w:p>
        </w:tc>
        <w:tc>
          <w:tcPr>
            <w:tcW w:w="3590" w:type="dxa"/>
          </w:tcPr>
          <w:p w14:paraId="6918C371" w14:textId="77777777" w:rsidR="006C4239" w:rsidRPr="006A1E11" w:rsidRDefault="006C4239" w:rsidP="006A1E11">
            <w:pPr>
              <w:ind w:left="360"/>
              <w:jc w:val="both"/>
            </w:pPr>
          </w:p>
        </w:tc>
        <w:tc>
          <w:tcPr>
            <w:tcW w:w="4267" w:type="dxa"/>
          </w:tcPr>
          <w:p w14:paraId="39A99E51" w14:textId="77777777" w:rsidR="006C4239" w:rsidRPr="006A1E11" w:rsidRDefault="006C4239" w:rsidP="006A1E11">
            <w:pPr>
              <w:ind w:left="360"/>
              <w:jc w:val="both"/>
            </w:pPr>
          </w:p>
        </w:tc>
      </w:tr>
      <w:tr w:rsidR="006C4239" w:rsidRPr="00D51AE5" w14:paraId="375E91A8" w14:textId="07DF14D1" w:rsidTr="007639A7">
        <w:tc>
          <w:tcPr>
            <w:tcW w:w="6044" w:type="dxa"/>
          </w:tcPr>
          <w:p w14:paraId="7C03C30C" w14:textId="77777777" w:rsidR="006C4239" w:rsidRPr="00D51AE5" w:rsidRDefault="006C4239" w:rsidP="006C4239">
            <w:pPr>
              <w:pStyle w:val="ListParagraph"/>
              <w:numPr>
                <w:ilvl w:val="0"/>
                <w:numId w:val="68"/>
              </w:numPr>
              <w:ind w:left="1560"/>
              <w:jc w:val="both"/>
            </w:pPr>
            <w:r w:rsidRPr="00D51AE5">
              <w:t>Whole process of exploration and development of RE sources up to its conversion into power, including, but not limited to, the services performed by subcontractors and/or contractors.</w:t>
            </w:r>
          </w:p>
        </w:tc>
        <w:tc>
          <w:tcPr>
            <w:tcW w:w="3590" w:type="dxa"/>
          </w:tcPr>
          <w:p w14:paraId="6C4A17C5" w14:textId="77777777" w:rsidR="006C4239" w:rsidRPr="006A1E11" w:rsidRDefault="006C4239" w:rsidP="006A1E11">
            <w:pPr>
              <w:ind w:left="360"/>
              <w:jc w:val="both"/>
            </w:pPr>
          </w:p>
        </w:tc>
        <w:tc>
          <w:tcPr>
            <w:tcW w:w="4267" w:type="dxa"/>
          </w:tcPr>
          <w:p w14:paraId="142E4283" w14:textId="77777777" w:rsidR="006C4239" w:rsidRPr="006A1E11" w:rsidRDefault="006C4239" w:rsidP="006A1E11">
            <w:pPr>
              <w:ind w:left="360"/>
              <w:jc w:val="both"/>
            </w:pPr>
          </w:p>
        </w:tc>
      </w:tr>
      <w:tr w:rsidR="006C4239" w:rsidRPr="00D51AE5" w14:paraId="723DB611" w14:textId="0340D6EF" w:rsidTr="007639A7">
        <w:tc>
          <w:tcPr>
            <w:tcW w:w="6044" w:type="dxa"/>
          </w:tcPr>
          <w:p w14:paraId="56400CF3" w14:textId="77777777" w:rsidR="006C4239" w:rsidRPr="00D51AE5" w:rsidRDefault="006C4239" w:rsidP="006C4239">
            <w:pPr>
              <w:contextualSpacing/>
              <w:jc w:val="both"/>
              <w:rPr>
                <w:rFonts w:ascii="Arial" w:hAnsi="Arial" w:cs="Arial"/>
                <w:b/>
                <w:bCs/>
              </w:rPr>
            </w:pPr>
            <w:r w:rsidRPr="00D51AE5">
              <w:rPr>
                <w:rFonts w:ascii="Arial" w:hAnsi="Arial" w:cs="Arial"/>
                <w:b/>
                <w:bCs/>
              </w:rPr>
              <w:t>H. Tax Exemption of Carbon Credits</w:t>
            </w:r>
          </w:p>
        </w:tc>
        <w:tc>
          <w:tcPr>
            <w:tcW w:w="3590" w:type="dxa"/>
          </w:tcPr>
          <w:p w14:paraId="235C8E29" w14:textId="77777777" w:rsidR="006C4239" w:rsidRPr="006A1E11" w:rsidRDefault="006C4239" w:rsidP="006A1E11">
            <w:pPr>
              <w:ind w:left="360"/>
              <w:jc w:val="both"/>
              <w:rPr>
                <w:b/>
                <w:bCs/>
              </w:rPr>
            </w:pPr>
          </w:p>
        </w:tc>
        <w:tc>
          <w:tcPr>
            <w:tcW w:w="4267" w:type="dxa"/>
          </w:tcPr>
          <w:p w14:paraId="698240CD" w14:textId="77777777" w:rsidR="006C4239" w:rsidRPr="006A1E11" w:rsidRDefault="006C4239" w:rsidP="006A1E11">
            <w:pPr>
              <w:ind w:left="360"/>
              <w:jc w:val="both"/>
              <w:rPr>
                <w:b/>
                <w:bCs/>
              </w:rPr>
            </w:pPr>
          </w:p>
        </w:tc>
      </w:tr>
      <w:tr w:rsidR="006C4239" w:rsidRPr="00D51AE5" w14:paraId="172D0233" w14:textId="24FE1A8A" w:rsidTr="007639A7">
        <w:tc>
          <w:tcPr>
            <w:tcW w:w="6044" w:type="dxa"/>
          </w:tcPr>
          <w:p w14:paraId="5D8D7777" w14:textId="77777777" w:rsidR="006C4239" w:rsidRPr="00D51AE5" w:rsidRDefault="006C4239" w:rsidP="006C4239">
            <w:pPr>
              <w:contextualSpacing/>
              <w:jc w:val="both"/>
              <w:rPr>
                <w:rFonts w:ascii="Arial" w:hAnsi="Arial" w:cs="Arial"/>
                <w:b/>
                <w:bCs/>
              </w:rPr>
            </w:pPr>
            <w:r w:rsidRPr="00D51AE5">
              <w:rPr>
                <w:rFonts w:ascii="Arial" w:hAnsi="Arial" w:cs="Arial"/>
              </w:rPr>
              <w:t>All proceeds from the sale of carbon emission credits shall be exempt from any and all taxes.</w:t>
            </w:r>
          </w:p>
        </w:tc>
        <w:tc>
          <w:tcPr>
            <w:tcW w:w="3590" w:type="dxa"/>
          </w:tcPr>
          <w:p w14:paraId="11E197E8" w14:textId="77777777" w:rsidR="006C4239" w:rsidRPr="006A1E11" w:rsidRDefault="006C4239" w:rsidP="006A1E11">
            <w:pPr>
              <w:ind w:left="360"/>
              <w:jc w:val="both"/>
            </w:pPr>
          </w:p>
        </w:tc>
        <w:tc>
          <w:tcPr>
            <w:tcW w:w="4267" w:type="dxa"/>
          </w:tcPr>
          <w:p w14:paraId="434CEA63" w14:textId="77777777" w:rsidR="006C4239" w:rsidRPr="006A1E11" w:rsidRDefault="006C4239" w:rsidP="006A1E11">
            <w:pPr>
              <w:ind w:left="360"/>
              <w:jc w:val="both"/>
            </w:pPr>
          </w:p>
        </w:tc>
      </w:tr>
      <w:tr w:rsidR="006C4239" w:rsidRPr="00D51AE5" w14:paraId="6FBB8A35" w14:textId="07C8DD59" w:rsidTr="007639A7">
        <w:tc>
          <w:tcPr>
            <w:tcW w:w="6044" w:type="dxa"/>
          </w:tcPr>
          <w:p w14:paraId="4BBEBF3E" w14:textId="77777777" w:rsidR="006C4239" w:rsidRPr="00D51AE5" w:rsidRDefault="006C4239" w:rsidP="006C4239">
            <w:pPr>
              <w:contextualSpacing/>
              <w:jc w:val="both"/>
              <w:rPr>
                <w:rFonts w:ascii="Arial" w:hAnsi="Arial" w:cs="Arial"/>
                <w:b/>
                <w:bCs/>
              </w:rPr>
            </w:pPr>
            <w:r w:rsidRPr="00D51AE5">
              <w:rPr>
                <w:rFonts w:ascii="Arial" w:hAnsi="Arial" w:cs="Arial"/>
                <w:b/>
                <w:bCs/>
              </w:rPr>
              <w:t>I. Tax Credit on Domestic Capital Equipment and Services Related to the Installation of Equipment and Machines.</w:t>
            </w:r>
          </w:p>
        </w:tc>
        <w:tc>
          <w:tcPr>
            <w:tcW w:w="3590" w:type="dxa"/>
          </w:tcPr>
          <w:p w14:paraId="6CAF3D91" w14:textId="77777777" w:rsidR="006C4239" w:rsidRPr="006A1E11" w:rsidRDefault="006C4239" w:rsidP="006A1E11">
            <w:pPr>
              <w:ind w:left="360"/>
              <w:jc w:val="both"/>
              <w:rPr>
                <w:b/>
                <w:bCs/>
              </w:rPr>
            </w:pPr>
          </w:p>
        </w:tc>
        <w:tc>
          <w:tcPr>
            <w:tcW w:w="4267" w:type="dxa"/>
          </w:tcPr>
          <w:p w14:paraId="3FE05EB9" w14:textId="77777777" w:rsidR="006C4239" w:rsidRPr="006A1E11" w:rsidRDefault="006C4239" w:rsidP="006A1E11">
            <w:pPr>
              <w:ind w:left="360"/>
              <w:jc w:val="both"/>
              <w:rPr>
                <w:b/>
                <w:bCs/>
              </w:rPr>
            </w:pPr>
          </w:p>
        </w:tc>
      </w:tr>
      <w:tr w:rsidR="006C4239" w:rsidRPr="00D51AE5" w14:paraId="19E434A6" w14:textId="016D905E" w:rsidTr="007639A7">
        <w:tc>
          <w:tcPr>
            <w:tcW w:w="6044" w:type="dxa"/>
          </w:tcPr>
          <w:p w14:paraId="7192701E" w14:textId="77777777" w:rsidR="006C4239" w:rsidRPr="00D51AE5" w:rsidRDefault="006C4239" w:rsidP="006C4239">
            <w:pPr>
              <w:contextualSpacing/>
              <w:jc w:val="both"/>
              <w:rPr>
                <w:rFonts w:ascii="Arial" w:hAnsi="Arial" w:cs="Arial"/>
                <w:b/>
                <w:bCs/>
              </w:rPr>
            </w:pPr>
            <w:r w:rsidRPr="00D51AE5">
              <w:rPr>
                <w:rFonts w:ascii="Arial" w:hAnsi="Arial" w:cs="Arial"/>
              </w:rPr>
              <w:t>A tax credit equivalent to one hundred percent (100%) of the value of the VAT and customs duties that would have been paid on the RE machinery, equipment, materials, and parts had these items been imported shall be given to a registered RE Developer who purchases machinery, equipment, materials, and parts from a domestic manufacturer, fabricator or supplier subject to the following conditions:</w:t>
            </w:r>
          </w:p>
        </w:tc>
        <w:tc>
          <w:tcPr>
            <w:tcW w:w="3590" w:type="dxa"/>
          </w:tcPr>
          <w:p w14:paraId="0A5B383F" w14:textId="77777777" w:rsidR="006C4239" w:rsidRPr="006A1E11" w:rsidRDefault="006C4239" w:rsidP="006A1E11">
            <w:pPr>
              <w:ind w:left="360"/>
              <w:jc w:val="both"/>
            </w:pPr>
          </w:p>
        </w:tc>
        <w:tc>
          <w:tcPr>
            <w:tcW w:w="4267" w:type="dxa"/>
          </w:tcPr>
          <w:p w14:paraId="634811D4" w14:textId="77777777" w:rsidR="006C4239" w:rsidRPr="006A1E11" w:rsidRDefault="006C4239" w:rsidP="006A1E11">
            <w:pPr>
              <w:ind w:left="360"/>
              <w:jc w:val="both"/>
            </w:pPr>
          </w:p>
        </w:tc>
      </w:tr>
      <w:tr w:rsidR="006C4239" w:rsidRPr="00D51AE5" w14:paraId="609CCA6E" w14:textId="78CEB46A" w:rsidTr="007639A7">
        <w:tc>
          <w:tcPr>
            <w:tcW w:w="6044" w:type="dxa"/>
          </w:tcPr>
          <w:p w14:paraId="09321002" w14:textId="77777777" w:rsidR="006C4239" w:rsidRPr="00D51AE5" w:rsidRDefault="006C4239" w:rsidP="006C4239">
            <w:pPr>
              <w:pStyle w:val="ListParagraph"/>
              <w:numPr>
                <w:ilvl w:val="0"/>
                <w:numId w:val="68"/>
              </w:numPr>
              <w:ind w:left="1560"/>
              <w:jc w:val="both"/>
            </w:pPr>
            <w:r w:rsidRPr="00D51AE5">
              <w:t>The said equipment, machinery, and spare parts are reasonably needed and shall be used exclusively by the Registered RE Developer in its registered activity;</w:t>
            </w:r>
          </w:p>
        </w:tc>
        <w:tc>
          <w:tcPr>
            <w:tcW w:w="3590" w:type="dxa"/>
          </w:tcPr>
          <w:p w14:paraId="120A1F48" w14:textId="77777777" w:rsidR="006C4239" w:rsidRPr="006A1E11" w:rsidRDefault="006C4239" w:rsidP="006A1E11">
            <w:pPr>
              <w:ind w:left="360"/>
              <w:jc w:val="both"/>
            </w:pPr>
          </w:p>
        </w:tc>
        <w:tc>
          <w:tcPr>
            <w:tcW w:w="4267" w:type="dxa"/>
          </w:tcPr>
          <w:p w14:paraId="2CEC3614" w14:textId="77777777" w:rsidR="006C4239" w:rsidRPr="006A1E11" w:rsidRDefault="006C4239" w:rsidP="006A1E11">
            <w:pPr>
              <w:ind w:left="360"/>
              <w:jc w:val="both"/>
            </w:pPr>
          </w:p>
        </w:tc>
      </w:tr>
      <w:tr w:rsidR="006C4239" w:rsidRPr="00D51AE5" w14:paraId="2648901F" w14:textId="3023AA08" w:rsidTr="007639A7">
        <w:tc>
          <w:tcPr>
            <w:tcW w:w="6044" w:type="dxa"/>
          </w:tcPr>
          <w:p w14:paraId="7A0ED684" w14:textId="77777777" w:rsidR="006C4239" w:rsidRPr="00D51AE5" w:rsidRDefault="006C4239" w:rsidP="006C4239">
            <w:pPr>
              <w:pStyle w:val="ListParagraph"/>
              <w:numPr>
                <w:ilvl w:val="0"/>
                <w:numId w:val="68"/>
              </w:numPr>
              <w:ind w:left="1560"/>
              <w:jc w:val="both"/>
            </w:pPr>
            <w:r w:rsidRPr="00D51AE5">
              <w:t>That the purchase of such equipment, machinery, and spare parts is made from an accredited or recognized domestic source, in which case, prior approval by the DOE should be obtained by the local manufacturer, fabricator, or supplier; and</w:t>
            </w:r>
          </w:p>
        </w:tc>
        <w:tc>
          <w:tcPr>
            <w:tcW w:w="3590" w:type="dxa"/>
          </w:tcPr>
          <w:p w14:paraId="0B8C6E66" w14:textId="77777777" w:rsidR="006C4239" w:rsidRPr="006A1E11" w:rsidRDefault="006C4239" w:rsidP="006A1E11">
            <w:pPr>
              <w:ind w:left="360"/>
              <w:jc w:val="both"/>
            </w:pPr>
          </w:p>
        </w:tc>
        <w:tc>
          <w:tcPr>
            <w:tcW w:w="4267" w:type="dxa"/>
          </w:tcPr>
          <w:p w14:paraId="633ECF91" w14:textId="77777777" w:rsidR="006C4239" w:rsidRPr="006A1E11" w:rsidRDefault="006C4239" w:rsidP="006A1E11">
            <w:pPr>
              <w:ind w:left="360"/>
              <w:jc w:val="both"/>
            </w:pPr>
          </w:p>
        </w:tc>
      </w:tr>
      <w:tr w:rsidR="006C4239" w:rsidRPr="00D51AE5" w14:paraId="1A3E6DBE" w14:textId="57A0EF8F" w:rsidTr="007639A7">
        <w:tc>
          <w:tcPr>
            <w:tcW w:w="6044" w:type="dxa"/>
          </w:tcPr>
          <w:p w14:paraId="48CDCD01" w14:textId="77777777" w:rsidR="006C4239" w:rsidRPr="00D51AE5" w:rsidRDefault="006C4239" w:rsidP="006C4239">
            <w:pPr>
              <w:pStyle w:val="ListParagraph"/>
              <w:numPr>
                <w:ilvl w:val="0"/>
                <w:numId w:val="68"/>
              </w:numPr>
              <w:ind w:left="1560"/>
              <w:jc w:val="both"/>
            </w:pPr>
            <w:r w:rsidRPr="00D51AE5">
              <w:t>That the acquisition of such machinery, equipment, materials, and parts shall be made within the validity of the RE Service/Operating Contract.</w:t>
            </w:r>
          </w:p>
        </w:tc>
        <w:tc>
          <w:tcPr>
            <w:tcW w:w="3590" w:type="dxa"/>
          </w:tcPr>
          <w:p w14:paraId="7CB558C5" w14:textId="77777777" w:rsidR="006C4239" w:rsidRPr="006A1E11" w:rsidRDefault="006C4239" w:rsidP="006A1E11">
            <w:pPr>
              <w:ind w:left="360"/>
              <w:jc w:val="both"/>
            </w:pPr>
          </w:p>
        </w:tc>
        <w:tc>
          <w:tcPr>
            <w:tcW w:w="4267" w:type="dxa"/>
          </w:tcPr>
          <w:p w14:paraId="541332B1" w14:textId="77777777" w:rsidR="006C4239" w:rsidRPr="006A1E11" w:rsidRDefault="006C4239" w:rsidP="006A1E11">
            <w:pPr>
              <w:ind w:left="360"/>
              <w:jc w:val="both"/>
            </w:pPr>
          </w:p>
        </w:tc>
      </w:tr>
      <w:tr w:rsidR="006C4239" w:rsidRPr="00D51AE5" w14:paraId="5A7876B1" w14:textId="6C4E3072" w:rsidTr="007639A7">
        <w:tc>
          <w:tcPr>
            <w:tcW w:w="6044" w:type="dxa"/>
          </w:tcPr>
          <w:p w14:paraId="05564A99" w14:textId="77777777" w:rsidR="006C4239" w:rsidRPr="00D51AE5" w:rsidRDefault="006C4239" w:rsidP="006C4239">
            <w:pPr>
              <w:contextualSpacing/>
              <w:jc w:val="both"/>
              <w:rPr>
                <w:rFonts w:ascii="Arial" w:hAnsi="Arial" w:cs="Arial"/>
              </w:rPr>
            </w:pPr>
            <w:r w:rsidRPr="00D51AE5">
              <w:rPr>
                <w:rFonts w:ascii="Arial" w:hAnsi="Arial" w:cs="Arial"/>
              </w:rPr>
              <w:t>Any sale, transfer, assignment, donation, or other mode of disposition of machinery, equipment, materials, and parts purchased from domestic source, if made within ten (10) years from the date of acquisition, shall require prior DOE approval.</w:t>
            </w:r>
          </w:p>
        </w:tc>
        <w:tc>
          <w:tcPr>
            <w:tcW w:w="3590" w:type="dxa"/>
          </w:tcPr>
          <w:p w14:paraId="3A7C3192" w14:textId="77777777" w:rsidR="006C4239" w:rsidRPr="006A1E11" w:rsidRDefault="006C4239" w:rsidP="006A1E11">
            <w:pPr>
              <w:ind w:left="360"/>
              <w:jc w:val="both"/>
            </w:pPr>
          </w:p>
        </w:tc>
        <w:tc>
          <w:tcPr>
            <w:tcW w:w="4267" w:type="dxa"/>
          </w:tcPr>
          <w:p w14:paraId="0EA566F9" w14:textId="77777777" w:rsidR="006C4239" w:rsidRPr="006A1E11" w:rsidRDefault="006C4239" w:rsidP="006A1E11">
            <w:pPr>
              <w:ind w:left="360"/>
              <w:jc w:val="both"/>
            </w:pPr>
          </w:p>
        </w:tc>
      </w:tr>
      <w:tr w:rsidR="006C4239" w:rsidRPr="00D51AE5" w14:paraId="05278710" w14:textId="5622AEBC" w:rsidTr="007639A7">
        <w:tc>
          <w:tcPr>
            <w:tcW w:w="6044" w:type="dxa"/>
          </w:tcPr>
          <w:p w14:paraId="5A18D16F" w14:textId="77777777" w:rsidR="006C4239" w:rsidRPr="00D51AE5" w:rsidRDefault="006C4239" w:rsidP="006C4239">
            <w:pPr>
              <w:contextualSpacing/>
              <w:jc w:val="both"/>
              <w:outlineLvl w:val="1"/>
              <w:rPr>
                <w:rFonts w:ascii="Arial" w:hAnsi="Arial" w:cs="Arial"/>
                <w:b/>
                <w:bCs/>
              </w:rPr>
            </w:pPr>
            <w:r w:rsidRPr="00D51AE5">
              <w:rPr>
                <w:rFonts w:ascii="Arial" w:hAnsi="Arial" w:cs="Arial"/>
                <w:b/>
                <w:bCs/>
              </w:rPr>
              <w:t xml:space="preserve">Section 2. Hybrid and Co-generation Systems. </w:t>
            </w:r>
            <w:r w:rsidRPr="00D51AE5">
              <w:rPr>
                <w:rFonts w:ascii="Arial" w:hAnsi="Arial" w:cs="Arial"/>
              </w:rPr>
              <w:t>The tax exemptions and/or incentives provided for in Section 13 and item D, Section 17 of the IRR of the RE Act shall be availed of by a registered RE Developer of hybrid and cogeneration systems utilizing both RE sources and conventional energy. However, the tax exemptions and incentives for hybrid and cogeneration systems shall apply only to the equipment, machinery, and/or devices utilizing RE Resources.</w:t>
            </w:r>
          </w:p>
        </w:tc>
        <w:tc>
          <w:tcPr>
            <w:tcW w:w="3590" w:type="dxa"/>
          </w:tcPr>
          <w:p w14:paraId="4D69F11C" w14:textId="77777777" w:rsidR="006C4239" w:rsidRPr="006A1E11" w:rsidRDefault="006C4239" w:rsidP="006A1E11">
            <w:pPr>
              <w:ind w:left="360"/>
              <w:jc w:val="both"/>
              <w:outlineLvl w:val="1"/>
              <w:rPr>
                <w:b/>
                <w:bCs/>
              </w:rPr>
            </w:pPr>
          </w:p>
        </w:tc>
        <w:tc>
          <w:tcPr>
            <w:tcW w:w="4267" w:type="dxa"/>
          </w:tcPr>
          <w:p w14:paraId="0B964308" w14:textId="77777777" w:rsidR="006C4239" w:rsidRPr="006A1E11" w:rsidRDefault="006C4239" w:rsidP="006A1E11">
            <w:pPr>
              <w:ind w:left="360"/>
              <w:jc w:val="both"/>
              <w:outlineLvl w:val="1"/>
              <w:rPr>
                <w:b/>
                <w:bCs/>
              </w:rPr>
            </w:pPr>
          </w:p>
        </w:tc>
      </w:tr>
      <w:tr w:rsidR="006C4239" w:rsidRPr="00D51AE5" w14:paraId="2FC0BC38" w14:textId="4FF40E34" w:rsidTr="007639A7">
        <w:tc>
          <w:tcPr>
            <w:tcW w:w="6044" w:type="dxa"/>
          </w:tcPr>
          <w:p w14:paraId="03AA1A54" w14:textId="77777777" w:rsidR="006C4239" w:rsidRPr="00D51AE5" w:rsidRDefault="006C4239" w:rsidP="006C4239">
            <w:pPr>
              <w:contextualSpacing/>
              <w:jc w:val="both"/>
              <w:outlineLvl w:val="1"/>
              <w:rPr>
                <w:rFonts w:ascii="Arial" w:hAnsi="Arial" w:cs="Arial"/>
                <w:b/>
                <w:bCs/>
              </w:rPr>
            </w:pPr>
            <w:r w:rsidRPr="00D51AE5">
              <w:rPr>
                <w:rFonts w:ascii="Arial" w:hAnsi="Arial" w:cs="Arial"/>
                <w:b/>
                <w:bCs/>
              </w:rPr>
              <w:t xml:space="preserve">Section 3. Incentives for RE Commercialization. </w:t>
            </w:r>
            <w:r w:rsidRPr="00D51AE5">
              <w:rPr>
                <w:rFonts w:ascii="Arial" w:hAnsi="Arial" w:cs="Arial"/>
              </w:rPr>
              <w:t>All manufacturers, fabricators, and suppliers of locally produced RE equipment and components shall be entitled to the privileges set forth below pursuant to the RE Act:</w:t>
            </w:r>
          </w:p>
        </w:tc>
        <w:tc>
          <w:tcPr>
            <w:tcW w:w="3590" w:type="dxa"/>
          </w:tcPr>
          <w:p w14:paraId="092FFCA7" w14:textId="77777777" w:rsidR="006C4239" w:rsidRPr="006A1E11" w:rsidRDefault="006C4239" w:rsidP="006A1E11">
            <w:pPr>
              <w:ind w:left="360"/>
              <w:jc w:val="both"/>
              <w:outlineLvl w:val="1"/>
              <w:rPr>
                <w:b/>
                <w:bCs/>
              </w:rPr>
            </w:pPr>
          </w:p>
        </w:tc>
        <w:tc>
          <w:tcPr>
            <w:tcW w:w="4267" w:type="dxa"/>
          </w:tcPr>
          <w:p w14:paraId="60D1B3D6" w14:textId="77777777" w:rsidR="006C4239" w:rsidRPr="006A1E11" w:rsidRDefault="006C4239" w:rsidP="006A1E11">
            <w:pPr>
              <w:ind w:left="360"/>
              <w:jc w:val="both"/>
              <w:outlineLvl w:val="1"/>
              <w:rPr>
                <w:b/>
                <w:bCs/>
              </w:rPr>
            </w:pPr>
          </w:p>
        </w:tc>
      </w:tr>
      <w:tr w:rsidR="006C4239" w:rsidRPr="00D51AE5" w14:paraId="0AF3812D" w14:textId="5AA20ED2" w:rsidTr="007639A7">
        <w:tc>
          <w:tcPr>
            <w:tcW w:w="6044" w:type="dxa"/>
          </w:tcPr>
          <w:p w14:paraId="3C0E482C" w14:textId="77777777" w:rsidR="006C4239" w:rsidRPr="00D51AE5" w:rsidRDefault="006C4239" w:rsidP="006C4239">
            <w:pPr>
              <w:contextualSpacing/>
              <w:jc w:val="both"/>
              <w:outlineLvl w:val="1"/>
              <w:rPr>
                <w:rFonts w:ascii="Arial" w:hAnsi="Arial" w:cs="Arial"/>
                <w:b/>
                <w:bCs/>
              </w:rPr>
            </w:pPr>
            <w:r w:rsidRPr="00D51AE5">
              <w:rPr>
                <w:rFonts w:ascii="Arial" w:hAnsi="Arial" w:cs="Arial"/>
                <w:b/>
                <w:bCs/>
              </w:rPr>
              <w:t>A. Tax and Duty-free Importation of Components, Parts, and Materials</w:t>
            </w:r>
          </w:p>
        </w:tc>
        <w:tc>
          <w:tcPr>
            <w:tcW w:w="3590" w:type="dxa"/>
          </w:tcPr>
          <w:p w14:paraId="10A5C778" w14:textId="77777777" w:rsidR="006C4239" w:rsidRPr="006A1E11" w:rsidRDefault="006C4239" w:rsidP="006A1E11">
            <w:pPr>
              <w:ind w:left="360"/>
              <w:jc w:val="both"/>
              <w:outlineLvl w:val="1"/>
              <w:rPr>
                <w:b/>
                <w:bCs/>
              </w:rPr>
            </w:pPr>
          </w:p>
        </w:tc>
        <w:tc>
          <w:tcPr>
            <w:tcW w:w="4267" w:type="dxa"/>
          </w:tcPr>
          <w:p w14:paraId="161F66A2" w14:textId="77777777" w:rsidR="006C4239" w:rsidRPr="006A1E11" w:rsidRDefault="006C4239" w:rsidP="006A1E11">
            <w:pPr>
              <w:ind w:left="360"/>
              <w:jc w:val="both"/>
              <w:outlineLvl w:val="1"/>
              <w:rPr>
                <w:b/>
                <w:bCs/>
              </w:rPr>
            </w:pPr>
          </w:p>
        </w:tc>
      </w:tr>
      <w:tr w:rsidR="006C4239" w:rsidRPr="00D51AE5" w14:paraId="7B4400A2" w14:textId="4635AE69" w:rsidTr="007639A7">
        <w:tc>
          <w:tcPr>
            <w:tcW w:w="6044" w:type="dxa"/>
          </w:tcPr>
          <w:p w14:paraId="4CF20203" w14:textId="77777777" w:rsidR="006C4239" w:rsidRPr="00D51AE5" w:rsidRDefault="006C4239" w:rsidP="006C4239">
            <w:pPr>
              <w:contextualSpacing/>
              <w:jc w:val="both"/>
              <w:outlineLvl w:val="1"/>
              <w:rPr>
                <w:rFonts w:ascii="Arial" w:hAnsi="Arial" w:cs="Arial"/>
                <w:b/>
                <w:bCs/>
              </w:rPr>
            </w:pPr>
            <w:r w:rsidRPr="00D51AE5">
              <w:rPr>
                <w:rFonts w:ascii="Arial" w:hAnsi="Arial" w:cs="Arial"/>
              </w:rPr>
              <w:t xml:space="preserve">All shipments necessary for the manufacture and/or fabrication of RE equipment and components shall </w:t>
            </w:r>
            <w:bookmarkStart w:id="8" w:name="_Hlk144480165"/>
            <w:r w:rsidRPr="00D51AE5">
              <w:rPr>
                <w:rFonts w:ascii="Arial" w:hAnsi="Arial" w:cs="Arial"/>
              </w:rPr>
              <w:t>be exempted from importation tariff and duties and value-added tax (VAT); Provided, that the said components, parts, and materials are:</w:t>
            </w:r>
          </w:p>
        </w:tc>
        <w:tc>
          <w:tcPr>
            <w:tcW w:w="3590" w:type="dxa"/>
          </w:tcPr>
          <w:p w14:paraId="26E37A61" w14:textId="77777777" w:rsidR="006C4239" w:rsidRPr="006A1E11" w:rsidRDefault="006C4239" w:rsidP="006A1E11">
            <w:pPr>
              <w:ind w:left="360"/>
              <w:jc w:val="both"/>
              <w:outlineLvl w:val="1"/>
            </w:pPr>
          </w:p>
        </w:tc>
        <w:tc>
          <w:tcPr>
            <w:tcW w:w="4267" w:type="dxa"/>
          </w:tcPr>
          <w:p w14:paraId="1470DF51" w14:textId="77777777" w:rsidR="006C4239" w:rsidRPr="006A1E11" w:rsidRDefault="006C4239" w:rsidP="006A1E11">
            <w:pPr>
              <w:ind w:left="360"/>
              <w:jc w:val="both"/>
              <w:outlineLvl w:val="1"/>
            </w:pPr>
          </w:p>
        </w:tc>
      </w:tr>
      <w:tr w:rsidR="006C4239" w:rsidRPr="00D51AE5" w14:paraId="7630C1BB" w14:textId="55EFF33D" w:rsidTr="007639A7">
        <w:tc>
          <w:tcPr>
            <w:tcW w:w="6044" w:type="dxa"/>
          </w:tcPr>
          <w:p w14:paraId="2D10BD09" w14:textId="77777777" w:rsidR="006C4239" w:rsidRPr="00D51AE5" w:rsidRDefault="006C4239" w:rsidP="006C4239">
            <w:pPr>
              <w:pStyle w:val="ListParagraph"/>
              <w:numPr>
                <w:ilvl w:val="0"/>
                <w:numId w:val="67"/>
              </w:numPr>
              <w:ind w:left="1985" w:hanging="283"/>
              <w:jc w:val="both"/>
              <w:outlineLvl w:val="1"/>
              <w:rPr>
                <w:b/>
                <w:bCs/>
              </w:rPr>
            </w:pPr>
            <w:r w:rsidRPr="00D51AE5">
              <w:t>Not manufactured domestically in reasonable quantity and quality at competitive prices;</w:t>
            </w:r>
          </w:p>
        </w:tc>
        <w:tc>
          <w:tcPr>
            <w:tcW w:w="3590" w:type="dxa"/>
          </w:tcPr>
          <w:p w14:paraId="33566F72" w14:textId="77777777" w:rsidR="006C4239" w:rsidRPr="006A1E11" w:rsidRDefault="006C4239" w:rsidP="006A1E11">
            <w:pPr>
              <w:ind w:left="360"/>
              <w:jc w:val="both"/>
              <w:outlineLvl w:val="1"/>
            </w:pPr>
          </w:p>
        </w:tc>
        <w:tc>
          <w:tcPr>
            <w:tcW w:w="4267" w:type="dxa"/>
          </w:tcPr>
          <w:p w14:paraId="715345BF" w14:textId="77777777" w:rsidR="006C4239" w:rsidRPr="006A1E11" w:rsidRDefault="006C4239" w:rsidP="006A1E11">
            <w:pPr>
              <w:ind w:left="360"/>
              <w:jc w:val="both"/>
              <w:outlineLvl w:val="1"/>
            </w:pPr>
          </w:p>
        </w:tc>
      </w:tr>
      <w:tr w:rsidR="006C4239" w:rsidRPr="00D51AE5" w14:paraId="58C4717E" w14:textId="1AB0B6A1" w:rsidTr="007639A7">
        <w:tc>
          <w:tcPr>
            <w:tcW w:w="6044" w:type="dxa"/>
          </w:tcPr>
          <w:p w14:paraId="47851D5E" w14:textId="77777777" w:rsidR="006C4239" w:rsidRPr="00D51AE5" w:rsidRDefault="006C4239" w:rsidP="006C4239">
            <w:pPr>
              <w:pStyle w:val="ListParagraph"/>
              <w:numPr>
                <w:ilvl w:val="0"/>
                <w:numId w:val="67"/>
              </w:numPr>
              <w:ind w:left="1985" w:hanging="283"/>
              <w:jc w:val="both"/>
              <w:outlineLvl w:val="1"/>
              <w:rPr>
                <w:b/>
                <w:bCs/>
              </w:rPr>
            </w:pPr>
            <w:r w:rsidRPr="00D51AE5">
              <w:t>Directly and actually needed and shall be used exclusively in the manufacture/fabrication of RE equipment; and</w:t>
            </w:r>
          </w:p>
        </w:tc>
        <w:tc>
          <w:tcPr>
            <w:tcW w:w="3590" w:type="dxa"/>
          </w:tcPr>
          <w:p w14:paraId="439F1A35" w14:textId="77777777" w:rsidR="006C4239" w:rsidRPr="006A1E11" w:rsidRDefault="006C4239" w:rsidP="006A1E11">
            <w:pPr>
              <w:ind w:left="360"/>
              <w:jc w:val="both"/>
              <w:outlineLvl w:val="1"/>
            </w:pPr>
          </w:p>
        </w:tc>
        <w:tc>
          <w:tcPr>
            <w:tcW w:w="4267" w:type="dxa"/>
          </w:tcPr>
          <w:p w14:paraId="085B0D64" w14:textId="77777777" w:rsidR="006C4239" w:rsidRPr="006A1E11" w:rsidRDefault="006C4239" w:rsidP="006A1E11">
            <w:pPr>
              <w:ind w:left="360"/>
              <w:jc w:val="both"/>
              <w:outlineLvl w:val="1"/>
            </w:pPr>
          </w:p>
        </w:tc>
      </w:tr>
      <w:tr w:rsidR="006C4239" w:rsidRPr="00D51AE5" w14:paraId="37ABF774" w14:textId="46AC97A3" w:rsidTr="007639A7">
        <w:tc>
          <w:tcPr>
            <w:tcW w:w="6044" w:type="dxa"/>
          </w:tcPr>
          <w:p w14:paraId="0342E085" w14:textId="77777777" w:rsidR="006C4239" w:rsidRPr="00D51AE5" w:rsidRDefault="006C4239" w:rsidP="006C4239">
            <w:pPr>
              <w:pStyle w:val="ListParagraph"/>
              <w:numPr>
                <w:ilvl w:val="0"/>
                <w:numId w:val="67"/>
              </w:numPr>
              <w:ind w:left="1985" w:hanging="283"/>
              <w:jc w:val="both"/>
              <w:outlineLvl w:val="1"/>
              <w:rPr>
                <w:b/>
                <w:bCs/>
              </w:rPr>
            </w:pPr>
            <w:r w:rsidRPr="00D51AE5">
              <w:t>Covered by shipping documents in the name of the duly registered manufacturer/fabricator to whom the shipment will be directly delivered by customs authorities.</w:t>
            </w:r>
            <w:r w:rsidRPr="00D51AE5">
              <w:rPr>
                <w:b/>
                <w:bCs/>
              </w:rPr>
              <w:t xml:space="preserve"> </w:t>
            </w:r>
            <w:r w:rsidRPr="00D51AE5">
              <w:t>Prior approval of the DOE shall be required before the importation of such components, parts, and materials.</w:t>
            </w:r>
          </w:p>
        </w:tc>
        <w:tc>
          <w:tcPr>
            <w:tcW w:w="3590" w:type="dxa"/>
          </w:tcPr>
          <w:p w14:paraId="695522A7" w14:textId="77777777" w:rsidR="006C4239" w:rsidRPr="006A1E11" w:rsidRDefault="006C4239" w:rsidP="006A1E11">
            <w:pPr>
              <w:ind w:left="360"/>
              <w:jc w:val="both"/>
              <w:outlineLvl w:val="1"/>
            </w:pPr>
          </w:p>
        </w:tc>
        <w:tc>
          <w:tcPr>
            <w:tcW w:w="4267" w:type="dxa"/>
          </w:tcPr>
          <w:p w14:paraId="66422367" w14:textId="77777777" w:rsidR="006C4239" w:rsidRPr="006A1E11" w:rsidRDefault="006C4239" w:rsidP="006A1E11">
            <w:pPr>
              <w:ind w:left="360"/>
              <w:jc w:val="both"/>
              <w:outlineLvl w:val="1"/>
            </w:pPr>
          </w:p>
        </w:tc>
      </w:tr>
      <w:tr w:rsidR="006C4239" w:rsidRPr="00D51AE5" w14:paraId="1B1755F1" w14:textId="203FDD10" w:rsidTr="007639A7">
        <w:tc>
          <w:tcPr>
            <w:tcW w:w="6044" w:type="dxa"/>
          </w:tcPr>
          <w:p w14:paraId="089018E2" w14:textId="1F4B76F3" w:rsidR="006C4239" w:rsidRPr="00D51AE5" w:rsidRDefault="00887CC3" w:rsidP="006C4239">
            <w:pPr>
              <w:contextualSpacing/>
              <w:jc w:val="both"/>
              <w:rPr>
                <w:rFonts w:ascii="Arial" w:hAnsi="Arial" w:cs="Arial"/>
                <w:b/>
                <w:bCs/>
              </w:rPr>
            </w:pPr>
            <w:proofErr w:type="spellStart"/>
            <w:r>
              <w:rPr>
                <w:rFonts w:ascii="Arial" w:hAnsi="Arial" w:cs="Arial"/>
                <w:b/>
                <w:bCs/>
              </w:rPr>
              <w:t>s</w:t>
            </w:r>
            <w:r w:rsidR="006C4239" w:rsidRPr="00D51AE5">
              <w:rPr>
                <w:rFonts w:ascii="Arial" w:hAnsi="Arial" w:cs="Arial"/>
                <w:b/>
                <w:bCs/>
              </w:rPr>
              <w:t>B.</w:t>
            </w:r>
            <w:proofErr w:type="spellEnd"/>
            <w:r w:rsidR="006C4239" w:rsidRPr="00D51AE5">
              <w:rPr>
                <w:rFonts w:ascii="Arial" w:hAnsi="Arial" w:cs="Arial"/>
                <w:b/>
                <w:bCs/>
              </w:rPr>
              <w:t xml:space="preserve"> Tax Credit on Domestic Capital Components, Parts, and </w:t>
            </w:r>
            <w:r w:rsidR="00177E6D" w:rsidRPr="00D51AE5">
              <w:rPr>
                <w:rFonts w:ascii="Arial" w:hAnsi="Arial" w:cs="Arial"/>
                <w:b/>
                <w:bCs/>
              </w:rPr>
              <w:t>Materials</w:t>
            </w:r>
          </w:p>
        </w:tc>
        <w:tc>
          <w:tcPr>
            <w:tcW w:w="3590" w:type="dxa"/>
          </w:tcPr>
          <w:p w14:paraId="356B5773" w14:textId="77777777" w:rsidR="006C4239" w:rsidRPr="006A1E11" w:rsidRDefault="006C4239" w:rsidP="006A1E11">
            <w:pPr>
              <w:ind w:left="360"/>
              <w:jc w:val="both"/>
              <w:rPr>
                <w:b/>
                <w:bCs/>
              </w:rPr>
            </w:pPr>
          </w:p>
        </w:tc>
        <w:tc>
          <w:tcPr>
            <w:tcW w:w="4267" w:type="dxa"/>
          </w:tcPr>
          <w:p w14:paraId="4D1077CB" w14:textId="77777777" w:rsidR="006C4239" w:rsidRPr="006A1E11" w:rsidRDefault="006C4239" w:rsidP="006A1E11">
            <w:pPr>
              <w:ind w:left="360"/>
              <w:jc w:val="both"/>
              <w:rPr>
                <w:b/>
                <w:bCs/>
              </w:rPr>
            </w:pPr>
          </w:p>
        </w:tc>
      </w:tr>
      <w:tr w:rsidR="006C4239" w:rsidRPr="00D51AE5" w14:paraId="3B25512F" w14:textId="7DA55F13" w:rsidTr="007639A7">
        <w:tc>
          <w:tcPr>
            <w:tcW w:w="6044" w:type="dxa"/>
          </w:tcPr>
          <w:p w14:paraId="4C74E295" w14:textId="77777777" w:rsidR="006C4239" w:rsidRPr="00D51AE5" w:rsidRDefault="006C4239" w:rsidP="006C4239">
            <w:pPr>
              <w:contextualSpacing/>
              <w:jc w:val="both"/>
              <w:rPr>
                <w:rFonts w:ascii="Arial" w:hAnsi="Arial" w:cs="Arial"/>
                <w:b/>
                <w:bCs/>
              </w:rPr>
            </w:pPr>
            <w:r w:rsidRPr="00D51AE5">
              <w:rPr>
                <w:rFonts w:ascii="Arial" w:hAnsi="Arial" w:cs="Arial"/>
              </w:rPr>
              <w:t>A tax credit equivalent to one hundred percent (100%) of the amount of the value-added tax (VAT) and customs duties that would have been paid on the components, parts, and materials had these items been imported shall be given to an RE equipment manufacturer, fabricator, and supplier who purchases RE components, parts, and materials from a domestic manufacturer; Provided, that such components and parts are directly needed and shall be used exclusively by the RE manufacturer, fabricator, and supplier for the manufacture, fabrication and sale of the RE equipment; Provided, further, That prior approval by the DOE was obtained by the local manufacturer.</w:t>
            </w:r>
          </w:p>
        </w:tc>
        <w:tc>
          <w:tcPr>
            <w:tcW w:w="3590" w:type="dxa"/>
          </w:tcPr>
          <w:p w14:paraId="6979567F" w14:textId="77777777" w:rsidR="006C4239" w:rsidRPr="006A1E11" w:rsidRDefault="006C4239" w:rsidP="006A1E11">
            <w:pPr>
              <w:ind w:left="360"/>
              <w:jc w:val="both"/>
            </w:pPr>
          </w:p>
        </w:tc>
        <w:tc>
          <w:tcPr>
            <w:tcW w:w="4267" w:type="dxa"/>
          </w:tcPr>
          <w:p w14:paraId="4C3D5F1A" w14:textId="77777777" w:rsidR="006C4239" w:rsidRPr="006A1E11" w:rsidRDefault="006C4239" w:rsidP="006A1E11">
            <w:pPr>
              <w:ind w:left="360"/>
              <w:jc w:val="both"/>
            </w:pPr>
          </w:p>
        </w:tc>
      </w:tr>
      <w:tr w:rsidR="006C4239" w:rsidRPr="00D51AE5" w14:paraId="5400528D" w14:textId="23B925E7" w:rsidTr="007639A7">
        <w:tc>
          <w:tcPr>
            <w:tcW w:w="6044" w:type="dxa"/>
          </w:tcPr>
          <w:p w14:paraId="2533EC63" w14:textId="77777777" w:rsidR="006C4239" w:rsidRPr="00D51AE5" w:rsidRDefault="006C4239" w:rsidP="006C4239">
            <w:pPr>
              <w:contextualSpacing/>
              <w:jc w:val="both"/>
              <w:rPr>
                <w:rFonts w:ascii="Arial" w:hAnsi="Arial" w:cs="Arial"/>
                <w:b/>
                <w:bCs/>
              </w:rPr>
            </w:pPr>
            <w:r w:rsidRPr="00D51AE5">
              <w:rPr>
                <w:rFonts w:ascii="Arial" w:hAnsi="Arial" w:cs="Arial"/>
                <w:b/>
                <w:bCs/>
              </w:rPr>
              <w:t>C. Income Tax Holiday and Exemption</w:t>
            </w:r>
          </w:p>
        </w:tc>
        <w:tc>
          <w:tcPr>
            <w:tcW w:w="3590" w:type="dxa"/>
          </w:tcPr>
          <w:p w14:paraId="0305715A" w14:textId="77777777" w:rsidR="006C4239" w:rsidRPr="006A1E11" w:rsidRDefault="006C4239" w:rsidP="006A1E11">
            <w:pPr>
              <w:ind w:left="360"/>
              <w:jc w:val="both"/>
              <w:rPr>
                <w:b/>
                <w:bCs/>
              </w:rPr>
            </w:pPr>
          </w:p>
        </w:tc>
        <w:tc>
          <w:tcPr>
            <w:tcW w:w="4267" w:type="dxa"/>
          </w:tcPr>
          <w:p w14:paraId="10EFE59D" w14:textId="77777777" w:rsidR="006C4239" w:rsidRPr="006A1E11" w:rsidRDefault="006C4239" w:rsidP="006A1E11">
            <w:pPr>
              <w:ind w:left="360"/>
              <w:jc w:val="both"/>
              <w:rPr>
                <w:b/>
                <w:bCs/>
              </w:rPr>
            </w:pPr>
          </w:p>
        </w:tc>
      </w:tr>
      <w:tr w:rsidR="006C4239" w:rsidRPr="00D51AE5" w14:paraId="5710B086" w14:textId="57262E70" w:rsidTr="007639A7">
        <w:tc>
          <w:tcPr>
            <w:tcW w:w="6044" w:type="dxa"/>
          </w:tcPr>
          <w:p w14:paraId="79BCB24A" w14:textId="77777777" w:rsidR="006C4239" w:rsidRPr="00D51AE5" w:rsidRDefault="006C4239" w:rsidP="006C4239">
            <w:pPr>
              <w:contextualSpacing/>
              <w:jc w:val="both"/>
              <w:rPr>
                <w:rFonts w:ascii="Arial" w:hAnsi="Arial" w:cs="Arial"/>
                <w:b/>
                <w:bCs/>
              </w:rPr>
            </w:pPr>
            <w:r w:rsidRPr="00D51AE5">
              <w:rPr>
                <w:rFonts w:ascii="Arial" w:hAnsi="Arial" w:cs="Arial"/>
              </w:rPr>
              <w:t>For seven (7) years starting from the date of recognition/accreditation provided under Section 18 of the IRR of the RE Act, an RE manufacturer, fabricator, and supplier of RE equipment shall be fully exempt from income taxes levied by the National</w:t>
            </w:r>
            <w:bookmarkEnd w:id="8"/>
            <w:r w:rsidRPr="00D51AE5">
              <w:rPr>
                <w:rFonts w:ascii="Arial" w:hAnsi="Arial" w:cs="Arial"/>
              </w:rPr>
              <w:t xml:space="preserve"> Government on net income derived only from the sale of RE equipment, machinery, parts, and services.</w:t>
            </w:r>
          </w:p>
        </w:tc>
        <w:tc>
          <w:tcPr>
            <w:tcW w:w="3590" w:type="dxa"/>
          </w:tcPr>
          <w:p w14:paraId="3031C089" w14:textId="77777777" w:rsidR="006C4239" w:rsidRPr="006A1E11" w:rsidRDefault="006C4239" w:rsidP="006A1E11">
            <w:pPr>
              <w:ind w:left="360"/>
              <w:jc w:val="both"/>
            </w:pPr>
          </w:p>
        </w:tc>
        <w:tc>
          <w:tcPr>
            <w:tcW w:w="4267" w:type="dxa"/>
          </w:tcPr>
          <w:p w14:paraId="6ED07320" w14:textId="77777777" w:rsidR="006C4239" w:rsidRPr="006A1E11" w:rsidRDefault="006C4239" w:rsidP="006A1E11">
            <w:pPr>
              <w:ind w:left="360"/>
              <w:jc w:val="both"/>
            </w:pPr>
          </w:p>
        </w:tc>
      </w:tr>
      <w:tr w:rsidR="006C4239" w:rsidRPr="00D51AE5" w14:paraId="7E307F83" w14:textId="7DFC2816" w:rsidTr="007639A7">
        <w:tc>
          <w:tcPr>
            <w:tcW w:w="6044" w:type="dxa"/>
          </w:tcPr>
          <w:p w14:paraId="5127C800" w14:textId="77777777" w:rsidR="006C4239" w:rsidRPr="00D51AE5" w:rsidRDefault="006C4239" w:rsidP="006C4239">
            <w:pPr>
              <w:contextualSpacing/>
              <w:jc w:val="both"/>
              <w:rPr>
                <w:rFonts w:ascii="Arial" w:hAnsi="Arial" w:cs="Arial"/>
                <w:b/>
                <w:bCs/>
              </w:rPr>
            </w:pPr>
            <w:r w:rsidRPr="00D51AE5">
              <w:rPr>
                <w:rFonts w:ascii="Arial" w:hAnsi="Arial" w:cs="Arial"/>
                <w:b/>
                <w:bCs/>
              </w:rPr>
              <w:t>D. Zero-Rated Value-Added Tax Transaction</w:t>
            </w:r>
          </w:p>
        </w:tc>
        <w:tc>
          <w:tcPr>
            <w:tcW w:w="3590" w:type="dxa"/>
          </w:tcPr>
          <w:p w14:paraId="499EB418" w14:textId="77777777" w:rsidR="006C4239" w:rsidRPr="006A1E11" w:rsidRDefault="006C4239" w:rsidP="006A1E11">
            <w:pPr>
              <w:ind w:left="360"/>
              <w:jc w:val="both"/>
              <w:rPr>
                <w:b/>
                <w:bCs/>
              </w:rPr>
            </w:pPr>
          </w:p>
        </w:tc>
        <w:tc>
          <w:tcPr>
            <w:tcW w:w="4267" w:type="dxa"/>
          </w:tcPr>
          <w:p w14:paraId="4D9AC3B6" w14:textId="77777777" w:rsidR="006C4239" w:rsidRPr="006A1E11" w:rsidRDefault="006C4239" w:rsidP="006A1E11">
            <w:pPr>
              <w:ind w:left="360"/>
              <w:jc w:val="both"/>
              <w:rPr>
                <w:b/>
                <w:bCs/>
              </w:rPr>
            </w:pPr>
          </w:p>
        </w:tc>
      </w:tr>
      <w:tr w:rsidR="006C4239" w:rsidRPr="00D51AE5" w14:paraId="195825D4" w14:textId="13BB2895" w:rsidTr="007639A7">
        <w:tc>
          <w:tcPr>
            <w:tcW w:w="6044" w:type="dxa"/>
          </w:tcPr>
          <w:p w14:paraId="6489E662" w14:textId="77777777" w:rsidR="006C4239" w:rsidRPr="00D51AE5" w:rsidRDefault="006C4239" w:rsidP="006C4239">
            <w:pPr>
              <w:contextualSpacing/>
              <w:jc w:val="both"/>
              <w:rPr>
                <w:rFonts w:ascii="Arial" w:hAnsi="Arial" w:cs="Arial"/>
                <w:b/>
                <w:bCs/>
              </w:rPr>
            </w:pPr>
            <w:r w:rsidRPr="00D51AE5">
              <w:rPr>
                <w:rFonts w:ascii="Arial" w:hAnsi="Arial" w:cs="Arial"/>
              </w:rPr>
              <w:t>All manufacturers, fabricators, and suppliers of locally produced RE equipment shall be subject to zero-rated value-added tax on their transactions with local suppliers of goods, properties, and services.</w:t>
            </w:r>
          </w:p>
        </w:tc>
        <w:tc>
          <w:tcPr>
            <w:tcW w:w="3590" w:type="dxa"/>
          </w:tcPr>
          <w:p w14:paraId="575A7F84" w14:textId="77777777" w:rsidR="006C4239" w:rsidRPr="006A1E11" w:rsidRDefault="006C4239" w:rsidP="006A1E11">
            <w:pPr>
              <w:ind w:left="360"/>
              <w:jc w:val="both"/>
            </w:pPr>
          </w:p>
        </w:tc>
        <w:tc>
          <w:tcPr>
            <w:tcW w:w="4267" w:type="dxa"/>
          </w:tcPr>
          <w:p w14:paraId="0E109946" w14:textId="77777777" w:rsidR="006C4239" w:rsidRPr="006A1E11" w:rsidRDefault="006C4239" w:rsidP="006A1E11">
            <w:pPr>
              <w:ind w:left="360"/>
              <w:jc w:val="both"/>
            </w:pPr>
          </w:p>
        </w:tc>
      </w:tr>
      <w:tr w:rsidR="006C4239" w:rsidRPr="00D51AE5" w14:paraId="79EF6FCC" w14:textId="1102ED5B" w:rsidTr="007639A7">
        <w:tc>
          <w:tcPr>
            <w:tcW w:w="6044" w:type="dxa"/>
          </w:tcPr>
          <w:p w14:paraId="3E951FBD" w14:textId="77777777" w:rsidR="006C4239" w:rsidRPr="00D51AE5" w:rsidRDefault="006C4239" w:rsidP="006C4239">
            <w:pPr>
              <w:contextualSpacing/>
              <w:jc w:val="both"/>
              <w:outlineLvl w:val="1"/>
              <w:rPr>
                <w:rFonts w:ascii="Arial" w:hAnsi="Arial" w:cs="Arial"/>
                <w:b/>
                <w:bCs/>
              </w:rPr>
            </w:pPr>
            <w:r w:rsidRPr="00D51AE5">
              <w:rPr>
                <w:rFonts w:ascii="Arial" w:hAnsi="Arial" w:cs="Arial"/>
                <w:b/>
                <w:bCs/>
              </w:rPr>
              <w:t xml:space="preserve">Section 4. Incentives for Farmers Engaged in the Plantation of Biomass Resources. </w:t>
            </w:r>
            <w:r w:rsidRPr="00D51AE5">
              <w:rPr>
                <w:rFonts w:ascii="Arial" w:hAnsi="Arial" w:cs="Arial"/>
              </w:rPr>
              <w:t xml:space="preserve">All individuals and entities engaged in the plantation of crops and trees used as biomass resources shall be entitled to duty-free importation and exemption from payment of VAT on all types of agricultural inputs, equipment, and machinery within ten (10) years from the effectivity of the RE Act, subject to the certification by the DOE and the following conditions: </w:t>
            </w:r>
          </w:p>
        </w:tc>
        <w:tc>
          <w:tcPr>
            <w:tcW w:w="3590" w:type="dxa"/>
          </w:tcPr>
          <w:p w14:paraId="3A0C2FEE" w14:textId="77777777" w:rsidR="006C4239" w:rsidRPr="006A1E11" w:rsidRDefault="006C4239" w:rsidP="006A1E11">
            <w:pPr>
              <w:ind w:left="360"/>
              <w:jc w:val="both"/>
              <w:outlineLvl w:val="1"/>
              <w:rPr>
                <w:b/>
                <w:bCs/>
              </w:rPr>
            </w:pPr>
          </w:p>
        </w:tc>
        <w:tc>
          <w:tcPr>
            <w:tcW w:w="4267" w:type="dxa"/>
          </w:tcPr>
          <w:p w14:paraId="38586891" w14:textId="77777777" w:rsidR="006C4239" w:rsidRPr="006A1E11" w:rsidRDefault="006C4239" w:rsidP="006A1E11">
            <w:pPr>
              <w:ind w:left="360"/>
              <w:jc w:val="both"/>
              <w:outlineLvl w:val="1"/>
              <w:rPr>
                <w:b/>
                <w:bCs/>
              </w:rPr>
            </w:pPr>
          </w:p>
        </w:tc>
      </w:tr>
      <w:tr w:rsidR="006C4239" w:rsidRPr="00D51AE5" w14:paraId="29BDE754" w14:textId="346AC8CC" w:rsidTr="007639A7">
        <w:tc>
          <w:tcPr>
            <w:tcW w:w="6044" w:type="dxa"/>
          </w:tcPr>
          <w:p w14:paraId="3AAD69BA" w14:textId="77777777" w:rsidR="006C4239" w:rsidRPr="00D51AE5" w:rsidRDefault="006C4239" w:rsidP="006C4239">
            <w:pPr>
              <w:pStyle w:val="ListParagraph"/>
              <w:numPr>
                <w:ilvl w:val="0"/>
                <w:numId w:val="66"/>
              </w:numPr>
              <w:ind w:left="1701"/>
              <w:jc w:val="both"/>
              <w:outlineLvl w:val="1"/>
              <w:rPr>
                <w:b/>
                <w:bCs/>
              </w:rPr>
            </w:pPr>
            <w:r w:rsidRPr="00D51AE5">
              <w:t>That the crops and trees such as, but not limited to, jatropha, coconut, and sugarcane shall be actually utilized for the production of biomass resources; and</w:t>
            </w:r>
          </w:p>
        </w:tc>
        <w:tc>
          <w:tcPr>
            <w:tcW w:w="3590" w:type="dxa"/>
          </w:tcPr>
          <w:p w14:paraId="5328C92C" w14:textId="77777777" w:rsidR="006C4239" w:rsidRPr="006A1E11" w:rsidRDefault="006C4239" w:rsidP="006A1E11">
            <w:pPr>
              <w:ind w:left="360"/>
              <w:jc w:val="both"/>
              <w:outlineLvl w:val="1"/>
            </w:pPr>
          </w:p>
        </w:tc>
        <w:tc>
          <w:tcPr>
            <w:tcW w:w="4267" w:type="dxa"/>
          </w:tcPr>
          <w:p w14:paraId="7FA60675" w14:textId="77777777" w:rsidR="006C4239" w:rsidRPr="006A1E11" w:rsidRDefault="006C4239" w:rsidP="006A1E11">
            <w:pPr>
              <w:ind w:left="360"/>
              <w:jc w:val="both"/>
              <w:outlineLvl w:val="1"/>
            </w:pPr>
          </w:p>
        </w:tc>
      </w:tr>
      <w:tr w:rsidR="006C4239" w:rsidRPr="00D51AE5" w14:paraId="07373E56" w14:textId="40FEBCFE" w:rsidTr="007639A7">
        <w:tc>
          <w:tcPr>
            <w:tcW w:w="6044" w:type="dxa"/>
          </w:tcPr>
          <w:p w14:paraId="41A8E3C8" w14:textId="77777777" w:rsidR="006C4239" w:rsidRPr="00D51AE5" w:rsidRDefault="006C4239" w:rsidP="006C4239">
            <w:pPr>
              <w:pStyle w:val="ListParagraph"/>
              <w:numPr>
                <w:ilvl w:val="0"/>
                <w:numId w:val="66"/>
              </w:numPr>
              <w:ind w:left="1701"/>
              <w:jc w:val="both"/>
              <w:outlineLvl w:val="1"/>
              <w:rPr>
                <w:b/>
                <w:bCs/>
              </w:rPr>
            </w:pPr>
            <w:r w:rsidRPr="00D51AE5">
              <w:t>That the agricultural inputs, equipment and machinery such as, but not limited to, fertilizers, insecticides, pesticides, tractors, trailers, trucks, farm implements and machinery, harvesters, threshers, hybrid seeds, genetic materials, sprayers, packaging machinery and materials, bulk handling facilities, such as conveyors and mini-loaders, weighing scales, harvesting equipment, and spare parts of all agricultural equipment shall be used actually and primarily for the production of said biomass resources.</w:t>
            </w:r>
          </w:p>
        </w:tc>
        <w:tc>
          <w:tcPr>
            <w:tcW w:w="3590" w:type="dxa"/>
          </w:tcPr>
          <w:p w14:paraId="354870D9" w14:textId="77777777" w:rsidR="006C4239" w:rsidRPr="006A1E11" w:rsidRDefault="006C4239" w:rsidP="006A1E11">
            <w:pPr>
              <w:ind w:left="360"/>
              <w:jc w:val="both"/>
              <w:outlineLvl w:val="1"/>
            </w:pPr>
          </w:p>
        </w:tc>
        <w:tc>
          <w:tcPr>
            <w:tcW w:w="4267" w:type="dxa"/>
          </w:tcPr>
          <w:p w14:paraId="07A544F4" w14:textId="77777777" w:rsidR="006C4239" w:rsidRPr="006A1E11" w:rsidRDefault="006C4239" w:rsidP="006A1E11">
            <w:pPr>
              <w:ind w:left="360"/>
              <w:jc w:val="both"/>
              <w:outlineLvl w:val="1"/>
            </w:pPr>
          </w:p>
        </w:tc>
      </w:tr>
      <w:tr w:rsidR="006C4239" w:rsidRPr="00D51AE5" w14:paraId="3ECC0E7A" w14:textId="37D05B06" w:rsidTr="007639A7">
        <w:tc>
          <w:tcPr>
            <w:tcW w:w="6044" w:type="dxa"/>
          </w:tcPr>
          <w:p w14:paraId="47EF34DE" w14:textId="77777777" w:rsidR="006C4239" w:rsidRPr="00D51AE5" w:rsidRDefault="006C4239" w:rsidP="006C4239">
            <w:pPr>
              <w:contextualSpacing/>
              <w:jc w:val="both"/>
              <w:outlineLvl w:val="1"/>
              <w:rPr>
                <w:rFonts w:ascii="Arial" w:hAnsi="Arial" w:cs="Arial"/>
                <w:b/>
                <w:bCs/>
              </w:rPr>
            </w:pPr>
            <w:r w:rsidRPr="00D51AE5">
              <w:rPr>
                <w:rFonts w:ascii="Arial" w:hAnsi="Arial" w:cs="Arial"/>
                <w:b/>
                <w:bCs/>
              </w:rPr>
              <w:tab/>
              <w:t>Section 5. Other Incentives and Privileges.</w:t>
            </w:r>
          </w:p>
        </w:tc>
        <w:tc>
          <w:tcPr>
            <w:tcW w:w="3590" w:type="dxa"/>
          </w:tcPr>
          <w:p w14:paraId="1712826F" w14:textId="77777777" w:rsidR="006C4239" w:rsidRPr="006A1E11" w:rsidRDefault="006C4239" w:rsidP="006A1E11">
            <w:pPr>
              <w:ind w:left="360"/>
              <w:jc w:val="both"/>
              <w:outlineLvl w:val="1"/>
              <w:rPr>
                <w:b/>
                <w:bCs/>
              </w:rPr>
            </w:pPr>
          </w:p>
        </w:tc>
        <w:tc>
          <w:tcPr>
            <w:tcW w:w="4267" w:type="dxa"/>
          </w:tcPr>
          <w:p w14:paraId="4F40CCD8" w14:textId="77777777" w:rsidR="006C4239" w:rsidRPr="006A1E11" w:rsidRDefault="006C4239" w:rsidP="006A1E11">
            <w:pPr>
              <w:ind w:left="360"/>
              <w:jc w:val="both"/>
              <w:outlineLvl w:val="1"/>
              <w:rPr>
                <w:b/>
                <w:bCs/>
              </w:rPr>
            </w:pPr>
          </w:p>
        </w:tc>
      </w:tr>
      <w:tr w:rsidR="006C4239" w:rsidRPr="00D51AE5" w14:paraId="64893CC9" w14:textId="2DE29265" w:rsidTr="007639A7">
        <w:tc>
          <w:tcPr>
            <w:tcW w:w="6044" w:type="dxa"/>
          </w:tcPr>
          <w:p w14:paraId="6AD4107B" w14:textId="77777777" w:rsidR="006C4239" w:rsidRPr="00D51AE5" w:rsidRDefault="006C4239" w:rsidP="006C4239">
            <w:pPr>
              <w:contextualSpacing/>
              <w:jc w:val="both"/>
              <w:rPr>
                <w:rFonts w:ascii="Arial" w:hAnsi="Arial" w:cs="Arial"/>
                <w:b/>
                <w:bCs/>
              </w:rPr>
            </w:pPr>
            <w:r w:rsidRPr="00D51AE5">
              <w:rPr>
                <w:rFonts w:ascii="Arial" w:hAnsi="Arial" w:cs="Arial"/>
                <w:b/>
                <w:bCs/>
              </w:rPr>
              <w:t>A. Tax Rebate for Purchase of RE Component</w:t>
            </w:r>
          </w:p>
        </w:tc>
        <w:tc>
          <w:tcPr>
            <w:tcW w:w="3590" w:type="dxa"/>
          </w:tcPr>
          <w:p w14:paraId="72E469DD" w14:textId="77777777" w:rsidR="006C4239" w:rsidRPr="006A1E11" w:rsidRDefault="006C4239" w:rsidP="006A1E11">
            <w:pPr>
              <w:ind w:left="360"/>
              <w:jc w:val="both"/>
              <w:rPr>
                <w:b/>
                <w:bCs/>
              </w:rPr>
            </w:pPr>
          </w:p>
        </w:tc>
        <w:tc>
          <w:tcPr>
            <w:tcW w:w="4267" w:type="dxa"/>
          </w:tcPr>
          <w:p w14:paraId="681703B8" w14:textId="77777777" w:rsidR="006C4239" w:rsidRPr="006A1E11" w:rsidRDefault="006C4239" w:rsidP="006A1E11">
            <w:pPr>
              <w:ind w:left="360"/>
              <w:jc w:val="both"/>
              <w:rPr>
                <w:b/>
                <w:bCs/>
              </w:rPr>
            </w:pPr>
          </w:p>
        </w:tc>
      </w:tr>
      <w:tr w:rsidR="006C4239" w:rsidRPr="00D51AE5" w14:paraId="4C487CA2" w14:textId="73910B57" w:rsidTr="007639A7">
        <w:tc>
          <w:tcPr>
            <w:tcW w:w="6044" w:type="dxa"/>
          </w:tcPr>
          <w:p w14:paraId="11037266" w14:textId="77777777" w:rsidR="006C4239" w:rsidRPr="00D51AE5" w:rsidRDefault="006C4239" w:rsidP="006C4239">
            <w:pPr>
              <w:contextualSpacing/>
              <w:jc w:val="both"/>
              <w:rPr>
                <w:rFonts w:ascii="Arial" w:hAnsi="Arial" w:cs="Arial"/>
                <w:b/>
                <w:bCs/>
              </w:rPr>
            </w:pPr>
            <w:r w:rsidRPr="00D51AE5">
              <w:rPr>
                <w:rFonts w:ascii="Arial" w:hAnsi="Arial" w:cs="Arial"/>
              </w:rPr>
              <w:t>To encourage the adoption of RE technologies, the DOF shall, in consultation with the Department of Science and Technology (DOST), DOE, and Department of Trade and Industry (DTI), provide rebates for all or part of the tax paid for the purchase of RE equipment for residential, industrial, or community use.</w:t>
            </w:r>
          </w:p>
        </w:tc>
        <w:tc>
          <w:tcPr>
            <w:tcW w:w="3590" w:type="dxa"/>
          </w:tcPr>
          <w:p w14:paraId="10611512" w14:textId="77777777" w:rsidR="006C4239" w:rsidRPr="006A1E11" w:rsidRDefault="006C4239" w:rsidP="006A1E11">
            <w:pPr>
              <w:ind w:left="360"/>
              <w:jc w:val="both"/>
            </w:pPr>
          </w:p>
        </w:tc>
        <w:tc>
          <w:tcPr>
            <w:tcW w:w="4267" w:type="dxa"/>
          </w:tcPr>
          <w:p w14:paraId="1E6D01C4" w14:textId="77777777" w:rsidR="006C4239" w:rsidRPr="006A1E11" w:rsidRDefault="006C4239" w:rsidP="006A1E11">
            <w:pPr>
              <w:ind w:left="360"/>
              <w:jc w:val="both"/>
            </w:pPr>
          </w:p>
        </w:tc>
      </w:tr>
      <w:tr w:rsidR="006C4239" w:rsidRPr="00D51AE5" w14:paraId="0108E996" w14:textId="786D08C4" w:rsidTr="007639A7">
        <w:tc>
          <w:tcPr>
            <w:tcW w:w="6044" w:type="dxa"/>
          </w:tcPr>
          <w:p w14:paraId="12B9E813" w14:textId="77777777" w:rsidR="006C4239" w:rsidRPr="00D51AE5" w:rsidRDefault="006C4239" w:rsidP="006C4239">
            <w:pPr>
              <w:contextualSpacing/>
              <w:jc w:val="both"/>
              <w:rPr>
                <w:rFonts w:ascii="Arial" w:hAnsi="Arial" w:cs="Arial"/>
                <w:b/>
                <w:bCs/>
              </w:rPr>
            </w:pPr>
            <w:r w:rsidRPr="00D51AE5">
              <w:rPr>
                <w:rFonts w:ascii="Arial" w:hAnsi="Arial" w:cs="Arial"/>
                <w:b/>
                <w:bCs/>
              </w:rPr>
              <w:t>B. Financial Assistance Program</w:t>
            </w:r>
          </w:p>
        </w:tc>
        <w:tc>
          <w:tcPr>
            <w:tcW w:w="3590" w:type="dxa"/>
          </w:tcPr>
          <w:p w14:paraId="1CD50CB4" w14:textId="77777777" w:rsidR="006C4239" w:rsidRPr="006A1E11" w:rsidRDefault="006C4239" w:rsidP="006A1E11">
            <w:pPr>
              <w:ind w:left="360"/>
              <w:jc w:val="both"/>
              <w:rPr>
                <w:b/>
                <w:bCs/>
              </w:rPr>
            </w:pPr>
          </w:p>
        </w:tc>
        <w:tc>
          <w:tcPr>
            <w:tcW w:w="4267" w:type="dxa"/>
          </w:tcPr>
          <w:p w14:paraId="09F6428A" w14:textId="77777777" w:rsidR="006C4239" w:rsidRPr="006A1E11" w:rsidRDefault="006C4239" w:rsidP="006A1E11">
            <w:pPr>
              <w:ind w:left="360"/>
              <w:jc w:val="both"/>
              <w:rPr>
                <w:b/>
                <w:bCs/>
              </w:rPr>
            </w:pPr>
          </w:p>
        </w:tc>
      </w:tr>
      <w:tr w:rsidR="006C4239" w:rsidRPr="00D51AE5" w14:paraId="30229A88" w14:textId="6E5BB93E" w:rsidTr="007639A7">
        <w:tc>
          <w:tcPr>
            <w:tcW w:w="6044" w:type="dxa"/>
          </w:tcPr>
          <w:p w14:paraId="7E94DE57" w14:textId="77777777" w:rsidR="006C4239" w:rsidRPr="00D51AE5" w:rsidRDefault="006C4239" w:rsidP="006C4239">
            <w:pPr>
              <w:contextualSpacing/>
              <w:jc w:val="both"/>
              <w:rPr>
                <w:rFonts w:ascii="Arial" w:hAnsi="Arial" w:cs="Arial"/>
                <w:b/>
                <w:bCs/>
              </w:rPr>
            </w:pPr>
            <w:r w:rsidRPr="00D51AE5">
              <w:rPr>
                <w:rFonts w:ascii="Arial" w:hAnsi="Arial" w:cs="Arial"/>
              </w:rPr>
              <w:t>Government financial institutions (GFIs) such as the Development Bank of the Philippines (DBP), Land Bank of the Philippines (LBP), Philippine Exim Bank and others shall, in accordance with and to the extent allowed by the enabling provisions of their respective charters or applicable laws, provide preferential financial packages for the development, utilization, and commercialization of RE projects that are duly recommended and endorsed by the DOE.</w:t>
            </w:r>
          </w:p>
        </w:tc>
        <w:tc>
          <w:tcPr>
            <w:tcW w:w="3590" w:type="dxa"/>
          </w:tcPr>
          <w:p w14:paraId="7296D5EC" w14:textId="77777777" w:rsidR="006C4239" w:rsidRPr="006A1E11" w:rsidRDefault="006C4239" w:rsidP="006A1E11">
            <w:pPr>
              <w:ind w:left="360"/>
              <w:jc w:val="both"/>
            </w:pPr>
          </w:p>
        </w:tc>
        <w:tc>
          <w:tcPr>
            <w:tcW w:w="4267" w:type="dxa"/>
          </w:tcPr>
          <w:p w14:paraId="4FDE6DD1" w14:textId="77777777" w:rsidR="006C4239" w:rsidRPr="006A1E11" w:rsidRDefault="006C4239" w:rsidP="006A1E11">
            <w:pPr>
              <w:ind w:left="360"/>
              <w:jc w:val="both"/>
            </w:pPr>
          </w:p>
        </w:tc>
      </w:tr>
      <w:tr w:rsidR="006C4239" w:rsidRPr="00D51AE5" w14:paraId="539F831A" w14:textId="23FB7CEA" w:rsidTr="007639A7">
        <w:tc>
          <w:tcPr>
            <w:tcW w:w="6044" w:type="dxa"/>
          </w:tcPr>
          <w:p w14:paraId="416ED2F3" w14:textId="77777777" w:rsidR="006C4239" w:rsidRPr="00D51AE5" w:rsidRDefault="006C4239" w:rsidP="006C4239">
            <w:pPr>
              <w:contextualSpacing/>
              <w:jc w:val="both"/>
              <w:rPr>
                <w:rFonts w:ascii="Arial" w:hAnsi="Arial" w:cs="Arial"/>
                <w:b/>
                <w:bCs/>
              </w:rPr>
            </w:pPr>
            <w:r w:rsidRPr="00D51AE5">
              <w:rPr>
                <w:rFonts w:ascii="Arial" w:hAnsi="Arial" w:cs="Arial"/>
                <w:b/>
                <w:bCs/>
              </w:rPr>
              <w:t>C. Exemption from the Universal Charge</w:t>
            </w:r>
          </w:p>
        </w:tc>
        <w:tc>
          <w:tcPr>
            <w:tcW w:w="3590" w:type="dxa"/>
          </w:tcPr>
          <w:p w14:paraId="6E131FBB" w14:textId="77777777" w:rsidR="006C4239" w:rsidRPr="006A1E11" w:rsidRDefault="006C4239" w:rsidP="006A1E11">
            <w:pPr>
              <w:ind w:left="360"/>
              <w:jc w:val="both"/>
              <w:rPr>
                <w:b/>
                <w:bCs/>
              </w:rPr>
            </w:pPr>
          </w:p>
        </w:tc>
        <w:tc>
          <w:tcPr>
            <w:tcW w:w="4267" w:type="dxa"/>
          </w:tcPr>
          <w:p w14:paraId="01F3E8C4" w14:textId="77777777" w:rsidR="006C4239" w:rsidRPr="006A1E11" w:rsidRDefault="006C4239" w:rsidP="006A1E11">
            <w:pPr>
              <w:ind w:left="360"/>
              <w:jc w:val="both"/>
              <w:rPr>
                <w:b/>
                <w:bCs/>
              </w:rPr>
            </w:pPr>
          </w:p>
        </w:tc>
      </w:tr>
      <w:tr w:rsidR="006C4239" w:rsidRPr="00D51AE5" w14:paraId="6C29BBF2" w14:textId="7AEEF3F2" w:rsidTr="007639A7">
        <w:tc>
          <w:tcPr>
            <w:tcW w:w="6044" w:type="dxa"/>
          </w:tcPr>
          <w:p w14:paraId="453A6461" w14:textId="77777777" w:rsidR="006C4239" w:rsidRPr="00D51AE5" w:rsidRDefault="006C4239" w:rsidP="006C4239">
            <w:pPr>
              <w:contextualSpacing/>
              <w:jc w:val="both"/>
              <w:rPr>
                <w:rFonts w:ascii="Arial" w:hAnsi="Arial" w:cs="Arial"/>
                <w:b/>
                <w:bCs/>
              </w:rPr>
            </w:pPr>
            <w:r w:rsidRPr="00D51AE5">
              <w:rPr>
                <w:rFonts w:ascii="Arial" w:hAnsi="Arial" w:cs="Arial"/>
              </w:rPr>
              <w:t>"Universal Charge" refers to the charge, if any, imposed for the recovery of the stranded cost and other purposes pursuant to Section 34 of the EPIRA.</w:t>
            </w:r>
          </w:p>
        </w:tc>
        <w:tc>
          <w:tcPr>
            <w:tcW w:w="3590" w:type="dxa"/>
          </w:tcPr>
          <w:p w14:paraId="13CC5AA6" w14:textId="77777777" w:rsidR="006C4239" w:rsidRPr="006A1E11" w:rsidRDefault="006C4239" w:rsidP="006A1E11">
            <w:pPr>
              <w:ind w:left="360"/>
              <w:jc w:val="both"/>
            </w:pPr>
          </w:p>
        </w:tc>
        <w:tc>
          <w:tcPr>
            <w:tcW w:w="4267" w:type="dxa"/>
          </w:tcPr>
          <w:p w14:paraId="3C117C0E" w14:textId="77777777" w:rsidR="006C4239" w:rsidRPr="006A1E11" w:rsidRDefault="006C4239" w:rsidP="006A1E11">
            <w:pPr>
              <w:ind w:left="360"/>
              <w:jc w:val="both"/>
            </w:pPr>
          </w:p>
        </w:tc>
      </w:tr>
      <w:tr w:rsidR="006C4239" w:rsidRPr="00D51AE5" w14:paraId="20A8EAE7" w14:textId="152993A3" w:rsidTr="007639A7">
        <w:tc>
          <w:tcPr>
            <w:tcW w:w="6044" w:type="dxa"/>
          </w:tcPr>
          <w:p w14:paraId="35E4AC0B" w14:textId="77777777" w:rsidR="006C4239" w:rsidRPr="00D51AE5" w:rsidRDefault="006C4239" w:rsidP="006C4239">
            <w:pPr>
              <w:contextualSpacing/>
              <w:jc w:val="both"/>
              <w:rPr>
                <w:rFonts w:ascii="Arial" w:hAnsi="Arial" w:cs="Arial"/>
                <w:b/>
                <w:bCs/>
              </w:rPr>
            </w:pPr>
            <w:r w:rsidRPr="00D51AE5">
              <w:rPr>
                <w:rFonts w:ascii="Arial" w:hAnsi="Arial" w:cs="Arial"/>
              </w:rPr>
              <w:t>All consumers shall be exempted from paying the Universal Charge under the following circumstances:</w:t>
            </w:r>
          </w:p>
        </w:tc>
        <w:tc>
          <w:tcPr>
            <w:tcW w:w="3590" w:type="dxa"/>
          </w:tcPr>
          <w:p w14:paraId="501FCB21" w14:textId="77777777" w:rsidR="006C4239" w:rsidRPr="006A1E11" w:rsidRDefault="006C4239" w:rsidP="006A1E11">
            <w:pPr>
              <w:ind w:left="360"/>
              <w:jc w:val="both"/>
            </w:pPr>
          </w:p>
        </w:tc>
        <w:tc>
          <w:tcPr>
            <w:tcW w:w="4267" w:type="dxa"/>
          </w:tcPr>
          <w:p w14:paraId="77117EC5" w14:textId="77777777" w:rsidR="006C4239" w:rsidRPr="006A1E11" w:rsidRDefault="006C4239" w:rsidP="006A1E11">
            <w:pPr>
              <w:ind w:left="360"/>
              <w:jc w:val="both"/>
            </w:pPr>
          </w:p>
        </w:tc>
      </w:tr>
      <w:tr w:rsidR="006C4239" w:rsidRPr="00D51AE5" w14:paraId="74EFCA9B" w14:textId="70362CE6" w:rsidTr="007639A7">
        <w:tc>
          <w:tcPr>
            <w:tcW w:w="6044" w:type="dxa"/>
          </w:tcPr>
          <w:p w14:paraId="0B486FA5" w14:textId="77777777" w:rsidR="006C4239" w:rsidRPr="00D51AE5" w:rsidRDefault="006C4239" w:rsidP="006C4239">
            <w:pPr>
              <w:pStyle w:val="ListParagraph"/>
              <w:numPr>
                <w:ilvl w:val="1"/>
                <w:numId w:val="63"/>
              </w:numPr>
              <w:ind w:left="2410"/>
              <w:jc w:val="both"/>
              <w:rPr>
                <w:b/>
                <w:bCs/>
              </w:rPr>
            </w:pPr>
            <w:r w:rsidRPr="00D51AE5">
              <w:t>If the power or electricity generated through the RE System is consumed by the generators themselves; and/or</w:t>
            </w:r>
          </w:p>
        </w:tc>
        <w:tc>
          <w:tcPr>
            <w:tcW w:w="3590" w:type="dxa"/>
          </w:tcPr>
          <w:p w14:paraId="67765B4A" w14:textId="77777777" w:rsidR="006C4239" w:rsidRPr="006A1E11" w:rsidRDefault="006C4239" w:rsidP="006A1E11">
            <w:pPr>
              <w:ind w:left="1080"/>
              <w:jc w:val="both"/>
            </w:pPr>
          </w:p>
        </w:tc>
        <w:tc>
          <w:tcPr>
            <w:tcW w:w="4267" w:type="dxa"/>
          </w:tcPr>
          <w:p w14:paraId="69656AEA" w14:textId="77777777" w:rsidR="006C4239" w:rsidRPr="006A1E11" w:rsidRDefault="006C4239" w:rsidP="006A1E11">
            <w:pPr>
              <w:ind w:left="1080"/>
              <w:jc w:val="both"/>
            </w:pPr>
          </w:p>
        </w:tc>
      </w:tr>
      <w:tr w:rsidR="006C4239" w:rsidRPr="00D51AE5" w14:paraId="635EE12A" w14:textId="1197805B" w:rsidTr="007639A7">
        <w:tc>
          <w:tcPr>
            <w:tcW w:w="6044" w:type="dxa"/>
          </w:tcPr>
          <w:p w14:paraId="2E3C88F5" w14:textId="77777777" w:rsidR="006C4239" w:rsidRPr="00D51AE5" w:rsidRDefault="006C4239" w:rsidP="006C4239">
            <w:pPr>
              <w:pStyle w:val="ListParagraph"/>
              <w:numPr>
                <w:ilvl w:val="1"/>
                <w:numId w:val="63"/>
              </w:numPr>
              <w:ind w:left="2410"/>
              <w:jc w:val="both"/>
              <w:rPr>
                <w:b/>
                <w:bCs/>
              </w:rPr>
            </w:pPr>
            <w:r w:rsidRPr="00D51AE5">
              <w:t>If the power or electricity through the RE System is distributed free of charge in the off-grid areas.</w:t>
            </w:r>
          </w:p>
        </w:tc>
        <w:tc>
          <w:tcPr>
            <w:tcW w:w="3590" w:type="dxa"/>
          </w:tcPr>
          <w:p w14:paraId="62F0C649" w14:textId="77777777" w:rsidR="006C4239" w:rsidRPr="006A1E11" w:rsidRDefault="006C4239" w:rsidP="006A1E11">
            <w:pPr>
              <w:ind w:left="1080"/>
              <w:jc w:val="both"/>
            </w:pPr>
          </w:p>
        </w:tc>
        <w:tc>
          <w:tcPr>
            <w:tcW w:w="4267" w:type="dxa"/>
          </w:tcPr>
          <w:p w14:paraId="7C23E8BD" w14:textId="77777777" w:rsidR="006C4239" w:rsidRPr="006A1E11" w:rsidRDefault="006C4239" w:rsidP="006A1E11">
            <w:pPr>
              <w:ind w:left="1080"/>
              <w:jc w:val="both"/>
            </w:pPr>
          </w:p>
        </w:tc>
      </w:tr>
      <w:tr w:rsidR="006C4239" w:rsidRPr="00D51AE5" w14:paraId="0F728671" w14:textId="55DC74F0" w:rsidTr="007639A7">
        <w:tc>
          <w:tcPr>
            <w:tcW w:w="6044" w:type="dxa"/>
          </w:tcPr>
          <w:p w14:paraId="2145D7BF" w14:textId="77777777" w:rsidR="006C4239" w:rsidRPr="00D51AE5" w:rsidRDefault="006C4239" w:rsidP="006C4239">
            <w:pPr>
              <w:contextualSpacing/>
              <w:jc w:val="both"/>
              <w:rPr>
                <w:rFonts w:ascii="Arial" w:hAnsi="Arial" w:cs="Arial"/>
                <w:b/>
                <w:bCs/>
              </w:rPr>
            </w:pPr>
            <w:r w:rsidRPr="00D51AE5">
              <w:rPr>
                <w:rFonts w:ascii="Arial" w:hAnsi="Arial" w:cs="Arial"/>
                <w:b/>
                <w:bCs/>
              </w:rPr>
              <w:t>D. Cash Incentive of Renewable Energy Developers for Missionary Electrification</w:t>
            </w:r>
          </w:p>
        </w:tc>
        <w:tc>
          <w:tcPr>
            <w:tcW w:w="3590" w:type="dxa"/>
          </w:tcPr>
          <w:p w14:paraId="58E8267F" w14:textId="77777777" w:rsidR="006C4239" w:rsidRPr="006A1E11" w:rsidRDefault="006C4239" w:rsidP="006A1E11">
            <w:pPr>
              <w:ind w:left="360"/>
              <w:jc w:val="both"/>
              <w:rPr>
                <w:b/>
                <w:bCs/>
              </w:rPr>
            </w:pPr>
          </w:p>
        </w:tc>
        <w:tc>
          <w:tcPr>
            <w:tcW w:w="4267" w:type="dxa"/>
          </w:tcPr>
          <w:p w14:paraId="057F097C" w14:textId="77777777" w:rsidR="006C4239" w:rsidRPr="006A1E11" w:rsidRDefault="006C4239" w:rsidP="006A1E11">
            <w:pPr>
              <w:ind w:left="360"/>
              <w:jc w:val="both"/>
              <w:rPr>
                <w:b/>
                <w:bCs/>
              </w:rPr>
            </w:pPr>
          </w:p>
        </w:tc>
      </w:tr>
      <w:tr w:rsidR="006C4239" w:rsidRPr="00D51AE5" w14:paraId="2727DC28" w14:textId="280340D2" w:rsidTr="007639A7">
        <w:tc>
          <w:tcPr>
            <w:tcW w:w="6044" w:type="dxa"/>
          </w:tcPr>
          <w:p w14:paraId="2C2BCB6D" w14:textId="77777777" w:rsidR="006C4239" w:rsidRPr="00D51AE5" w:rsidRDefault="006C4239" w:rsidP="006C4239">
            <w:pPr>
              <w:contextualSpacing/>
              <w:jc w:val="both"/>
              <w:rPr>
                <w:rFonts w:ascii="Arial" w:hAnsi="Arial" w:cs="Arial"/>
                <w:b/>
                <w:bCs/>
              </w:rPr>
            </w:pPr>
            <w:r w:rsidRPr="00D51AE5">
              <w:rPr>
                <w:rFonts w:ascii="Arial" w:hAnsi="Arial" w:cs="Arial"/>
              </w:rPr>
              <w:t>An RE Developer registered pursuant to Section 15 of the RE Act and Section 18 of the IRR of the RE Act, shall be entitled to a cash generation-based incentive per kilowatt-hour rate generated, equivalent to fifty percent (50%) of the universal charge for the power needed to service missionary areas where it operates the same, to be chargeable against the universal charge for Missionary Electrification. This provision shall apply to RE capacities for Missionary Electrification undertaken upon effectivity of the Act.</w:t>
            </w:r>
          </w:p>
        </w:tc>
        <w:tc>
          <w:tcPr>
            <w:tcW w:w="3590" w:type="dxa"/>
          </w:tcPr>
          <w:p w14:paraId="7D2E8D95" w14:textId="77777777" w:rsidR="006C4239" w:rsidRPr="006A1E11" w:rsidRDefault="006C4239" w:rsidP="006A1E11">
            <w:pPr>
              <w:ind w:left="360"/>
              <w:jc w:val="both"/>
            </w:pPr>
          </w:p>
        </w:tc>
        <w:tc>
          <w:tcPr>
            <w:tcW w:w="4267" w:type="dxa"/>
          </w:tcPr>
          <w:p w14:paraId="1FDA8219" w14:textId="77777777" w:rsidR="006C4239" w:rsidRPr="006A1E11" w:rsidRDefault="006C4239" w:rsidP="006A1E11">
            <w:pPr>
              <w:ind w:left="360"/>
              <w:jc w:val="both"/>
            </w:pPr>
          </w:p>
        </w:tc>
      </w:tr>
      <w:tr w:rsidR="006C4239" w:rsidRPr="00D51AE5" w14:paraId="5D8FC219" w14:textId="72A51554" w:rsidTr="007639A7">
        <w:tc>
          <w:tcPr>
            <w:tcW w:w="6044" w:type="dxa"/>
          </w:tcPr>
          <w:p w14:paraId="6DCFF24F" w14:textId="77777777" w:rsidR="006C4239" w:rsidRPr="00D51AE5" w:rsidRDefault="006C4239" w:rsidP="006C4239">
            <w:pPr>
              <w:contextualSpacing/>
              <w:jc w:val="both"/>
              <w:rPr>
                <w:rFonts w:ascii="Arial" w:hAnsi="Arial" w:cs="Arial"/>
                <w:b/>
                <w:bCs/>
              </w:rPr>
            </w:pPr>
            <w:r w:rsidRPr="00D51AE5">
              <w:rPr>
                <w:rFonts w:ascii="Arial" w:hAnsi="Arial" w:cs="Arial"/>
                <w:b/>
                <w:bCs/>
              </w:rPr>
              <w:t>E. Payment of Transmission Charge</w:t>
            </w:r>
          </w:p>
        </w:tc>
        <w:tc>
          <w:tcPr>
            <w:tcW w:w="3590" w:type="dxa"/>
          </w:tcPr>
          <w:p w14:paraId="7E223747" w14:textId="77777777" w:rsidR="006C4239" w:rsidRPr="006A1E11" w:rsidRDefault="006C4239" w:rsidP="006A1E11">
            <w:pPr>
              <w:ind w:left="360"/>
              <w:jc w:val="both"/>
              <w:rPr>
                <w:b/>
                <w:bCs/>
              </w:rPr>
            </w:pPr>
          </w:p>
        </w:tc>
        <w:tc>
          <w:tcPr>
            <w:tcW w:w="4267" w:type="dxa"/>
          </w:tcPr>
          <w:p w14:paraId="42302489" w14:textId="77777777" w:rsidR="006C4239" w:rsidRPr="006A1E11" w:rsidRDefault="006C4239" w:rsidP="006A1E11">
            <w:pPr>
              <w:ind w:left="360"/>
              <w:jc w:val="both"/>
              <w:rPr>
                <w:b/>
                <w:bCs/>
              </w:rPr>
            </w:pPr>
          </w:p>
        </w:tc>
      </w:tr>
      <w:tr w:rsidR="006C4239" w:rsidRPr="00D51AE5" w14:paraId="7F0D4222" w14:textId="687E5B56" w:rsidTr="007639A7">
        <w:tc>
          <w:tcPr>
            <w:tcW w:w="6044" w:type="dxa"/>
          </w:tcPr>
          <w:p w14:paraId="6E20E565" w14:textId="77777777" w:rsidR="006C4239" w:rsidRPr="00D51AE5" w:rsidRDefault="006C4239" w:rsidP="006C4239">
            <w:pPr>
              <w:contextualSpacing/>
              <w:jc w:val="both"/>
              <w:rPr>
                <w:rFonts w:ascii="Arial" w:hAnsi="Arial" w:cs="Arial"/>
                <w:b/>
                <w:bCs/>
              </w:rPr>
            </w:pPr>
            <w:r w:rsidRPr="00D51AE5">
              <w:rPr>
                <w:rFonts w:ascii="Arial" w:hAnsi="Arial" w:cs="Arial"/>
              </w:rPr>
              <w:t>A registered RE Developer producing power and electricity from an intermittent RE Resource may opt to pay the transmission and wheeling charges of National Transmission Corporation (TRANSCO), its concessionaire or its successor-in-interests on a per kilowatt-hour basis at a cost equivalent to the average per kilowatt-hour rate of all other electricity transmitted through the Grid.</w:t>
            </w:r>
          </w:p>
        </w:tc>
        <w:tc>
          <w:tcPr>
            <w:tcW w:w="3590" w:type="dxa"/>
          </w:tcPr>
          <w:p w14:paraId="17313F0B" w14:textId="77777777" w:rsidR="006C4239" w:rsidRPr="006A1E11" w:rsidRDefault="006C4239" w:rsidP="006A1E11">
            <w:pPr>
              <w:ind w:left="360"/>
              <w:jc w:val="both"/>
            </w:pPr>
          </w:p>
        </w:tc>
        <w:tc>
          <w:tcPr>
            <w:tcW w:w="4267" w:type="dxa"/>
          </w:tcPr>
          <w:p w14:paraId="5282EFD2" w14:textId="77777777" w:rsidR="006C4239" w:rsidRPr="006A1E11" w:rsidRDefault="006C4239" w:rsidP="006A1E11">
            <w:pPr>
              <w:ind w:left="360"/>
              <w:jc w:val="both"/>
            </w:pPr>
          </w:p>
        </w:tc>
      </w:tr>
      <w:tr w:rsidR="006C4239" w:rsidRPr="00D51AE5" w14:paraId="135F89EC" w14:textId="2C3A7FF5" w:rsidTr="007639A7">
        <w:tc>
          <w:tcPr>
            <w:tcW w:w="6044" w:type="dxa"/>
          </w:tcPr>
          <w:p w14:paraId="76436AA7" w14:textId="77777777" w:rsidR="006C4239" w:rsidRPr="00D51AE5" w:rsidRDefault="006C4239" w:rsidP="006C4239">
            <w:pPr>
              <w:contextualSpacing/>
              <w:jc w:val="both"/>
              <w:rPr>
                <w:rFonts w:ascii="Arial" w:hAnsi="Arial" w:cs="Arial"/>
              </w:rPr>
            </w:pPr>
            <w:r w:rsidRPr="00D51AE5">
              <w:rPr>
                <w:rFonts w:ascii="Arial" w:hAnsi="Arial" w:cs="Arial"/>
              </w:rPr>
              <w:t>"RE generating units with intermittent RE Resources" refers to an RE generating unit or group of units connected to a common connection point whose RE Resource is location-specific, naturally difficult to precisely predict the availability of the RE Resource thereby making the energy generated variable, unpredictable and irregular, and the availability of the resource inherently uncontrollable, which include plants utilizing wind, solar, run-of-river hydropower, or ocean energy.</w:t>
            </w:r>
          </w:p>
        </w:tc>
        <w:tc>
          <w:tcPr>
            <w:tcW w:w="3590" w:type="dxa"/>
          </w:tcPr>
          <w:p w14:paraId="7D4F1D7B" w14:textId="77777777" w:rsidR="006C4239" w:rsidRPr="006A1E11" w:rsidRDefault="006C4239" w:rsidP="006A1E11">
            <w:pPr>
              <w:ind w:left="360"/>
              <w:jc w:val="both"/>
            </w:pPr>
          </w:p>
        </w:tc>
        <w:tc>
          <w:tcPr>
            <w:tcW w:w="4267" w:type="dxa"/>
          </w:tcPr>
          <w:p w14:paraId="5B4B9918" w14:textId="77777777" w:rsidR="006C4239" w:rsidRPr="006A1E11" w:rsidRDefault="006C4239" w:rsidP="006A1E11">
            <w:pPr>
              <w:ind w:left="360"/>
              <w:jc w:val="both"/>
            </w:pPr>
          </w:p>
        </w:tc>
      </w:tr>
      <w:tr w:rsidR="006C4239" w:rsidRPr="00D51AE5" w14:paraId="34DCDD20" w14:textId="2B4F9750" w:rsidTr="007639A7">
        <w:tc>
          <w:tcPr>
            <w:tcW w:w="6044" w:type="dxa"/>
          </w:tcPr>
          <w:p w14:paraId="3A38ECB0" w14:textId="77777777" w:rsidR="006C4239" w:rsidRPr="00D51AE5" w:rsidRDefault="006C4239" w:rsidP="006C4239">
            <w:pPr>
              <w:contextualSpacing/>
              <w:jc w:val="both"/>
              <w:outlineLvl w:val="1"/>
              <w:rPr>
                <w:rFonts w:ascii="Arial" w:hAnsi="Arial" w:cs="Arial"/>
              </w:rPr>
            </w:pPr>
            <w:r w:rsidRPr="00D51AE5">
              <w:rPr>
                <w:rFonts w:ascii="Arial" w:hAnsi="Arial" w:cs="Arial"/>
                <w:b/>
                <w:bCs/>
              </w:rPr>
              <w:t>Section 6</w:t>
            </w:r>
            <w:r w:rsidRPr="00D51AE5">
              <w:rPr>
                <w:rFonts w:ascii="Arial" w:hAnsi="Arial" w:cs="Arial"/>
              </w:rPr>
              <w:t xml:space="preserve">. </w:t>
            </w:r>
            <w:r w:rsidRPr="00D51AE5">
              <w:rPr>
                <w:rFonts w:ascii="Arial" w:hAnsi="Arial" w:cs="Arial"/>
                <w:b/>
                <w:bCs/>
              </w:rPr>
              <w:t>Incentive Regime.</w:t>
            </w:r>
            <w:r w:rsidRPr="00D51AE5">
              <w:rPr>
                <w:rFonts w:ascii="Arial" w:hAnsi="Arial" w:cs="Arial"/>
              </w:rPr>
              <w:t xml:space="preserve"> </w:t>
            </w:r>
            <w:bookmarkStart w:id="9" w:name="_Hlk140052617"/>
            <w:r w:rsidRPr="00D51AE5">
              <w:rPr>
                <w:rFonts w:ascii="Arial" w:hAnsi="Arial" w:cs="Arial"/>
              </w:rPr>
              <w:t>In lieu of the incentives allowed under the RE Act, as enumerated in the preceding Sections of this Chapter, an RE Developer may elect to avail itself of the incentives under the NIRC of 1997, as amended by RA No. 11534, otherwise known as the “Corporate Recovery and Tax Incentives for Enterprises Act” or “CREATE”. Unless the RE Developer signifies its intention to avail itself of the incentives under CREATE at the time of issuance of COR, it shall be considered as having availed itself of the incentives under the RE Act. Once the RE Developer elects to avail itself of the incentives under CREATE, such election shall be considered irrevocable and no incentives under the RE Act shall be allowed thereafter.</w:t>
            </w:r>
            <w:bookmarkEnd w:id="9"/>
          </w:p>
        </w:tc>
        <w:tc>
          <w:tcPr>
            <w:tcW w:w="3590" w:type="dxa"/>
          </w:tcPr>
          <w:p w14:paraId="40E7C654" w14:textId="77777777" w:rsidR="006C4239" w:rsidRPr="006A1E11" w:rsidRDefault="006C4239" w:rsidP="006A1E11">
            <w:pPr>
              <w:ind w:left="360"/>
              <w:jc w:val="both"/>
              <w:outlineLvl w:val="1"/>
              <w:rPr>
                <w:b/>
                <w:bCs/>
              </w:rPr>
            </w:pPr>
          </w:p>
        </w:tc>
        <w:tc>
          <w:tcPr>
            <w:tcW w:w="4267" w:type="dxa"/>
          </w:tcPr>
          <w:p w14:paraId="276C9581" w14:textId="77777777" w:rsidR="006C4239" w:rsidRPr="006A1E11" w:rsidRDefault="006C4239" w:rsidP="006A1E11">
            <w:pPr>
              <w:ind w:left="360"/>
              <w:jc w:val="both"/>
              <w:outlineLvl w:val="1"/>
              <w:rPr>
                <w:b/>
                <w:bCs/>
              </w:rPr>
            </w:pPr>
          </w:p>
        </w:tc>
      </w:tr>
      <w:tr w:rsidR="006C4239" w:rsidRPr="00D51AE5" w14:paraId="6F473EC3" w14:textId="730C0C7F" w:rsidTr="007639A7">
        <w:tc>
          <w:tcPr>
            <w:tcW w:w="6044" w:type="dxa"/>
          </w:tcPr>
          <w:p w14:paraId="28736DC7" w14:textId="77777777" w:rsidR="006C4239" w:rsidRPr="00D51AE5" w:rsidRDefault="006C4239" w:rsidP="006C4239">
            <w:pPr>
              <w:pStyle w:val="NoSpacing"/>
              <w:contextualSpacing/>
              <w:jc w:val="center"/>
              <w:rPr>
                <w:b/>
                <w:bCs/>
              </w:rPr>
            </w:pPr>
            <w:r w:rsidRPr="00D51AE5">
              <w:rPr>
                <w:b/>
                <w:bCs/>
              </w:rPr>
              <w:t>CHAPTER X – TRANSITORY</w:t>
            </w:r>
            <w:r w:rsidRPr="00D51AE5">
              <w:rPr>
                <w:b/>
                <w:bCs/>
                <w:spacing w:val="-17"/>
              </w:rPr>
              <w:t xml:space="preserve"> </w:t>
            </w:r>
            <w:r w:rsidRPr="00D51AE5">
              <w:rPr>
                <w:b/>
                <w:bCs/>
              </w:rPr>
              <w:t>PROVISIONS</w:t>
            </w:r>
          </w:p>
        </w:tc>
        <w:tc>
          <w:tcPr>
            <w:tcW w:w="3590" w:type="dxa"/>
          </w:tcPr>
          <w:p w14:paraId="3EEBBE06" w14:textId="77777777" w:rsidR="006C4239" w:rsidRPr="00D51AE5" w:rsidRDefault="006C4239" w:rsidP="006A1E11">
            <w:pPr>
              <w:pStyle w:val="NoSpacing"/>
              <w:ind w:left="360"/>
              <w:contextualSpacing/>
              <w:jc w:val="center"/>
              <w:rPr>
                <w:b/>
                <w:bCs/>
              </w:rPr>
            </w:pPr>
          </w:p>
        </w:tc>
        <w:tc>
          <w:tcPr>
            <w:tcW w:w="4267" w:type="dxa"/>
          </w:tcPr>
          <w:p w14:paraId="30485953" w14:textId="77777777" w:rsidR="006C4239" w:rsidRPr="00D51AE5" w:rsidRDefault="006C4239" w:rsidP="006A1E11">
            <w:pPr>
              <w:pStyle w:val="NoSpacing"/>
              <w:ind w:left="360"/>
              <w:contextualSpacing/>
              <w:jc w:val="center"/>
              <w:rPr>
                <w:b/>
                <w:bCs/>
              </w:rPr>
            </w:pPr>
          </w:p>
        </w:tc>
      </w:tr>
      <w:tr w:rsidR="006C4239" w:rsidRPr="00D51AE5" w14:paraId="4CB1197D" w14:textId="2AA34620" w:rsidTr="007639A7">
        <w:tc>
          <w:tcPr>
            <w:tcW w:w="6044" w:type="dxa"/>
          </w:tcPr>
          <w:p w14:paraId="69B48076" w14:textId="77777777" w:rsidR="006C4239" w:rsidRPr="00D51AE5" w:rsidRDefault="006C4239" w:rsidP="006C4239">
            <w:pPr>
              <w:pStyle w:val="BodyText"/>
              <w:contextualSpacing/>
              <w:jc w:val="both"/>
            </w:pPr>
            <w:r w:rsidRPr="00D51AE5">
              <w:rPr>
                <w:b/>
              </w:rPr>
              <w:t xml:space="preserve">Section 1. Evaluation of Pending Applications. </w:t>
            </w:r>
            <w:r w:rsidRPr="00D51AE5">
              <w:t>RE Applications filed prior to the effectivity of this Circular shall be governed by the existing guidelines at the time of the filing of the applications. The ITMS shall</w:t>
            </w:r>
            <w:r w:rsidRPr="00D51AE5">
              <w:rPr>
                <w:spacing w:val="-1"/>
              </w:rPr>
              <w:t xml:space="preserve"> </w:t>
            </w:r>
            <w:r w:rsidRPr="00D51AE5">
              <w:t>report to</w:t>
            </w:r>
            <w:r w:rsidRPr="00D51AE5">
              <w:rPr>
                <w:spacing w:val="-1"/>
              </w:rPr>
              <w:t xml:space="preserve"> </w:t>
            </w:r>
            <w:r w:rsidRPr="00D51AE5">
              <w:t>the</w:t>
            </w:r>
            <w:r w:rsidRPr="00D51AE5">
              <w:rPr>
                <w:spacing w:val="-1"/>
              </w:rPr>
              <w:t xml:space="preserve"> </w:t>
            </w:r>
            <w:r w:rsidRPr="00D51AE5">
              <w:t xml:space="preserve">REMB all areas covered by pending RE Applications and RE Contracts within fifteen (15) days from the date of this Circular. REMB shall use this information to commence the process of identifying PDAs for preparation of the OCSP. RE Applicants that have passed the legal, technical and financial requirements under the existing guidelines prior to the effectivity of this Circular shall be given an option to choose which RE Contract template to adopt: </w:t>
            </w:r>
            <w:r w:rsidRPr="00D51AE5">
              <w:rPr>
                <w:i/>
              </w:rPr>
              <w:t>Provided, however</w:t>
            </w:r>
            <w:r w:rsidRPr="00D51AE5">
              <w:t>, that should there be any new application requirements for RE Contract covering development of a particular type of RE resource, the applicant must satisfy first such requirement/s.</w:t>
            </w:r>
          </w:p>
        </w:tc>
        <w:tc>
          <w:tcPr>
            <w:tcW w:w="3590" w:type="dxa"/>
          </w:tcPr>
          <w:p w14:paraId="2481741F" w14:textId="77777777" w:rsidR="006C4239" w:rsidRPr="00D51AE5" w:rsidRDefault="006C4239" w:rsidP="006A1E11">
            <w:pPr>
              <w:pStyle w:val="BodyText"/>
              <w:ind w:left="360"/>
              <w:contextualSpacing/>
              <w:jc w:val="both"/>
              <w:rPr>
                <w:b/>
              </w:rPr>
            </w:pPr>
          </w:p>
        </w:tc>
        <w:tc>
          <w:tcPr>
            <w:tcW w:w="4267" w:type="dxa"/>
          </w:tcPr>
          <w:p w14:paraId="54C60A2C" w14:textId="77777777" w:rsidR="006C4239" w:rsidRPr="00D51AE5" w:rsidRDefault="006C4239" w:rsidP="006A1E11">
            <w:pPr>
              <w:pStyle w:val="BodyText"/>
              <w:ind w:left="360"/>
              <w:contextualSpacing/>
              <w:jc w:val="both"/>
              <w:rPr>
                <w:b/>
              </w:rPr>
            </w:pPr>
          </w:p>
        </w:tc>
      </w:tr>
      <w:tr w:rsidR="006C4239" w:rsidRPr="00D51AE5" w14:paraId="2D39B020" w14:textId="5D19BCB4" w:rsidTr="007639A7">
        <w:tc>
          <w:tcPr>
            <w:tcW w:w="6044" w:type="dxa"/>
          </w:tcPr>
          <w:p w14:paraId="3064FC8E" w14:textId="77777777" w:rsidR="006C4239" w:rsidRPr="00D51AE5" w:rsidRDefault="006C4239" w:rsidP="006C4239">
            <w:pPr>
              <w:pStyle w:val="BodyText"/>
              <w:contextualSpacing/>
              <w:jc w:val="both"/>
            </w:pPr>
            <w:r w:rsidRPr="00D51AE5">
              <w:rPr>
                <w:b/>
              </w:rPr>
              <w:t xml:space="preserve">Section 2. Re-filing of the Application for RE Contract and Certificate of Registration. </w:t>
            </w:r>
            <w:r w:rsidRPr="00D51AE5">
              <w:t>Pending</w:t>
            </w:r>
            <w:r w:rsidRPr="00D51AE5">
              <w:rPr>
                <w:spacing w:val="-1"/>
              </w:rPr>
              <w:t xml:space="preserve"> </w:t>
            </w:r>
            <w:r w:rsidRPr="00D51AE5">
              <w:t>applications for RE Contract or issuance of CORs may be</w:t>
            </w:r>
            <w:r w:rsidRPr="00D51AE5">
              <w:rPr>
                <w:spacing w:val="-1"/>
              </w:rPr>
              <w:t xml:space="preserve"> </w:t>
            </w:r>
            <w:r w:rsidRPr="00D51AE5">
              <w:t>re- applied, at the option of the RE Applicant, within (30) days from effectivity of this Circular without need of new or re-payment of the application fees. Failure of the applicants to re-file its application within the said period shall be construed as its decision to: (a) submit to</w:t>
            </w:r>
            <w:r w:rsidRPr="00D51AE5">
              <w:rPr>
                <w:spacing w:val="-1"/>
              </w:rPr>
              <w:t xml:space="preserve"> </w:t>
            </w:r>
            <w:r w:rsidRPr="00D51AE5">
              <w:t>the ongoing evaluation of its RE Application under the prior rules or guidelines, and (b) comply with the results of such evaluation of its pending RE Application.</w:t>
            </w:r>
          </w:p>
        </w:tc>
        <w:tc>
          <w:tcPr>
            <w:tcW w:w="3590" w:type="dxa"/>
          </w:tcPr>
          <w:p w14:paraId="20CD5176" w14:textId="77777777" w:rsidR="006C4239" w:rsidRPr="00D51AE5" w:rsidRDefault="006C4239" w:rsidP="006A1E11">
            <w:pPr>
              <w:pStyle w:val="BodyText"/>
              <w:ind w:left="360"/>
              <w:contextualSpacing/>
              <w:jc w:val="both"/>
              <w:rPr>
                <w:b/>
              </w:rPr>
            </w:pPr>
          </w:p>
        </w:tc>
        <w:tc>
          <w:tcPr>
            <w:tcW w:w="4267" w:type="dxa"/>
          </w:tcPr>
          <w:p w14:paraId="3F691B55" w14:textId="77777777" w:rsidR="006C4239" w:rsidRPr="00D51AE5" w:rsidRDefault="006C4239" w:rsidP="006A1E11">
            <w:pPr>
              <w:pStyle w:val="BodyText"/>
              <w:ind w:left="360"/>
              <w:contextualSpacing/>
              <w:jc w:val="both"/>
              <w:rPr>
                <w:b/>
              </w:rPr>
            </w:pPr>
          </w:p>
        </w:tc>
      </w:tr>
      <w:tr w:rsidR="006C4239" w:rsidRPr="00D51AE5" w14:paraId="4BF008F8" w14:textId="4F83D23E" w:rsidTr="007639A7">
        <w:tc>
          <w:tcPr>
            <w:tcW w:w="6044" w:type="dxa"/>
          </w:tcPr>
          <w:p w14:paraId="4B5D0E07" w14:textId="77777777" w:rsidR="006C4239" w:rsidRPr="00D51AE5" w:rsidRDefault="006C4239" w:rsidP="006C4239">
            <w:pPr>
              <w:jc w:val="center"/>
              <w:outlineLvl w:val="1"/>
              <w:rPr>
                <w:rFonts w:ascii="Arial" w:hAnsi="Arial" w:cs="Arial"/>
                <w:b/>
                <w:bCs/>
              </w:rPr>
            </w:pPr>
            <w:r w:rsidRPr="00D51AE5">
              <w:rPr>
                <w:rFonts w:ascii="Arial" w:hAnsi="Arial" w:cs="Arial"/>
                <w:b/>
                <w:bCs/>
              </w:rPr>
              <w:t>CHAPTER XI – FINAL</w:t>
            </w:r>
            <w:r w:rsidRPr="00D51AE5">
              <w:rPr>
                <w:rFonts w:ascii="Arial" w:hAnsi="Arial" w:cs="Arial"/>
                <w:b/>
                <w:bCs/>
                <w:spacing w:val="-17"/>
              </w:rPr>
              <w:t xml:space="preserve"> </w:t>
            </w:r>
            <w:r w:rsidRPr="00D51AE5">
              <w:rPr>
                <w:rFonts w:ascii="Arial" w:hAnsi="Arial" w:cs="Arial"/>
                <w:b/>
                <w:bCs/>
              </w:rPr>
              <w:t>PROVISIONS</w:t>
            </w:r>
          </w:p>
        </w:tc>
        <w:tc>
          <w:tcPr>
            <w:tcW w:w="3590" w:type="dxa"/>
          </w:tcPr>
          <w:p w14:paraId="36D9E0EB" w14:textId="77777777" w:rsidR="006C4239" w:rsidRPr="006A1E11" w:rsidRDefault="006C4239" w:rsidP="006A1E11">
            <w:pPr>
              <w:ind w:left="360"/>
              <w:jc w:val="center"/>
              <w:outlineLvl w:val="1"/>
              <w:rPr>
                <w:b/>
                <w:bCs/>
              </w:rPr>
            </w:pPr>
          </w:p>
        </w:tc>
        <w:tc>
          <w:tcPr>
            <w:tcW w:w="4267" w:type="dxa"/>
          </w:tcPr>
          <w:p w14:paraId="0F25830C" w14:textId="77777777" w:rsidR="006C4239" w:rsidRPr="006A1E11" w:rsidRDefault="006C4239" w:rsidP="006A1E11">
            <w:pPr>
              <w:ind w:left="360"/>
              <w:jc w:val="center"/>
              <w:outlineLvl w:val="1"/>
              <w:rPr>
                <w:b/>
                <w:bCs/>
              </w:rPr>
            </w:pPr>
          </w:p>
        </w:tc>
      </w:tr>
      <w:tr w:rsidR="006C4239" w:rsidRPr="00D51AE5" w14:paraId="37E98D74" w14:textId="410E8361" w:rsidTr="007639A7">
        <w:tc>
          <w:tcPr>
            <w:tcW w:w="6044" w:type="dxa"/>
          </w:tcPr>
          <w:p w14:paraId="5294F78C" w14:textId="77777777" w:rsidR="006C4239" w:rsidRPr="00D51AE5" w:rsidRDefault="006C4239" w:rsidP="006C4239">
            <w:pPr>
              <w:pStyle w:val="BodyText"/>
              <w:contextualSpacing/>
              <w:jc w:val="both"/>
            </w:pPr>
            <w:r w:rsidRPr="00D51AE5">
              <w:rPr>
                <w:b/>
              </w:rPr>
              <w:t>Section 1.</w:t>
            </w:r>
            <w:r w:rsidRPr="00D51AE5">
              <w:rPr>
                <w:b/>
                <w:spacing w:val="-1"/>
              </w:rPr>
              <w:t xml:space="preserve"> </w:t>
            </w:r>
            <w:r w:rsidRPr="00D51AE5">
              <w:rPr>
                <w:b/>
              </w:rPr>
              <w:t>Extension</w:t>
            </w:r>
            <w:r w:rsidRPr="00D51AE5">
              <w:rPr>
                <w:b/>
                <w:spacing w:val="-1"/>
              </w:rPr>
              <w:t xml:space="preserve"> </w:t>
            </w:r>
            <w:r w:rsidRPr="00D51AE5">
              <w:rPr>
                <w:b/>
              </w:rPr>
              <w:t>of Timelines.</w:t>
            </w:r>
            <w:r w:rsidRPr="00D51AE5">
              <w:rPr>
                <w:b/>
                <w:spacing w:val="-3"/>
              </w:rPr>
              <w:t xml:space="preserve"> </w:t>
            </w:r>
            <w:r w:rsidRPr="00D51AE5">
              <w:t>Subject</w:t>
            </w:r>
            <w:r w:rsidRPr="00D51AE5">
              <w:rPr>
                <w:spacing w:val="-2"/>
              </w:rPr>
              <w:t xml:space="preserve"> </w:t>
            </w:r>
            <w:r w:rsidRPr="00D51AE5">
              <w:t>to</w:t>
            </w:r>
            <w:r w:rsidRPr="00D51AE5">
              <w:rPr>
                <w:spacing w:val="-4"/>
              </w:rPr>
              <w:t xml:space="preserve"> </w:t>
            </w:r>
            <w:r w:rsidRPr="00D51AE5">
              <w:t>the</w:t>
            </w:r>
            <w:r w:rsidRPr="00D51AE5">
              <w:rPr>
                <w:spacing w:val="-2"/>
              </w:rPr>
              <w:t xml:space="preserve"> </w:t>
            </w:r>
            <w:r w:rsidRPr="00D51AE5">
              <w:t>provisions of RA</w:t>
            </w:r>
            <w:r w:rsidRPr="00D51AE5">
              <w:rPr>
                <w:spacing w:val="-2"/>
              </w:rPr>
              <w:t xml:space="preserve"> </w:t>
            </w:r>
            <w:r w:rsidRPr="00D51AE5">
              <w:t>No. 11032,</w:t>
            </w:r>
            <w:r w:rsidRPr="00D51AE5">
              <w:rPr>
                <w:spacing w:val="-2"/>
              </w:rPr>
              <w:t xml:space="preserve"> </w:t>
            </w:r>
            <w:r w:rsidRPr="00D51AE5">
              <w:t>the respective timelines provided under this Circular may be</w:t>
            </w:r>
            <w:r w:rsidRPr="00D51AE5">
              <w:rPr>
                <w:spacing w:val="-1"/>
              </w:rPr>
              <w:t xml:space="preserve"> </w:t>
            </w:r>
            <w:r w:rsidRPr="00D51AE5">
              <w:t xml:space="preserve">extended for the same period prior to the lapse of the subject period, </w:t>
            </w:r>
            <w:r w:rsidRPr="00D51AE5">
              <w:rPr>
                <w:i/>
              </w:rPr>
              <w:t xml:space="preserve">Provided, </w:t>
            </w:r>
            <w:r w:rsidRPr="00D51AE5">
              <w:t>That the DOE</w:t>
            </w:r>
            <w:r w:rsidRPr="00D51AE5">
              <w:rPr>
                <w:spacing w:val="40"/>
              </w:rPr>
              <w:t xml:space="preserve"> </w:t>
            </w:r>
            <w:r w:rsidRPr="00D51AE5">
              <w:t>shall notify the affected party in writing of the reason for the extension and shall provide the final date of release of the matter requested.</w:t>
            </w:r>
          </w:p>
        </w:tc>
        <w:tc>
          <w:tcPr>
            <w:tcW w:w="3590" w:type="dxa"/>
          </w:tcPr>
          <w:p w14:paraId="4655C544" w14:textId="77777777" w:rsidR="006C4239" w:rsidRPr="00D51AE5" w:rsidRDefault="006C4239" w:rsidP="006A1E11">
            <w:pPr>
              <w:pStyle w:val="BodyText"/>
              <w:ind w:left="360"/>
              <w:contextualSpacing/>
              <w:jc w:val="both"/>
              <w:rPr>
                <w:b/>
              </w:rPr>
            </w:pPr>
          </w:p>
        </w:tc>
        <w:tc>
          <w:tcPr>
            <w:tcW w:w="4267" w:type="dxa"/>
          </w:tcPr>
          <w:p w14:paraId="64D30577" w14:textId="77777777" w:rsidR="006C4239" w:rsidRPr="00D51AE5" w:rsidRDefault="006C4239" w:rsidP="006A1E11">
            <w:pPr>
              <w:pStyle w:val="BodyText"/>
              <w:ind w:left="360"/>
              <w:contextualSpacing/>
              <w:jc w:val="both"/>
              <w:rPr>
                <w:b/>
              </w:rPr>
            </w:pPr>
          </w:p>
        </w:tc>
      </w:tr>
      <w:tr w:rsidR="006C4239" w:rsidRPr="00D51AE5" w14:paraId="0FDA67EB" w14:textId="09BF491A" w:rsidTr="007639A7">
        <w:tc>
          <w:tcPr>
            <w:tcW w:w="6044" w:type="dxa"/>
          </w:tcPr>
          <w:p w14:paraId="57987C03" w14:textId="77777777" w:rsidR="006C4239" w:rsidRPr="00D51AE5" w:rsidRDefault="006C4239" w:rsidP="006C4239">
            <w:pPr>
              <w:contextualSpacing/>
              <w:jc w:val="both"/>
              <w:rPr>
                <w:rFonts w:ascii="Arial" w:hAnsi="Arial" w:cs="Arial"/>
              </w:rPr>
            </w:pPr>
            <w:r w:rsidRPr="00D51AE5">
              <w:rPr>
                <w:rFonts w:ascii="Arial" w:hAnsi="Arial" w:cs="Arial"/>
              </w:rPr>
              <w:t>Only</w:t>
            </w:r>
            <w:r w:rsidRPr="00D51AE5">
              <w:rPr>
                <w:rFonts w:ascii="Arial" w:hAnsi="Arial" w:cs="Arial"/>
                <w:spacing w:val="-3"/>
              </w:rPr>
              <w:t xml:space="preserve"> </w:t>
            </w:r>
            <w:r w:rsidRPr="00D51AE5">
              <w:rPr>
                <w:rFonts w:ascii="Arial" w:hAnsi="Arial" w:cs="Arial"/>
              </w:rPr>
              <w:t>one</w:t>
            </w:r>
            <w:r w:rsidRPr="00D51AE5">
              <w:rPr>
                <w:rFonts w:ascii="Arial" w:hAnsi="Arial" w:cs="Arial"/>
                <w:spacing w:val="-5"/>
              </w:rPr>
              <w:t xml:space="preserve"> </w:t>
            </w:r>
            <w:r w:rsidRPr="00D51AE5">
              <w:rPr>
                <w:rFonts w:ascii="Arial" w:hAnsi="Arial" w:cs="Arial"/>
              </w:rPr>
              <w:t>extension</w:t>
            </w:r>
            <w:r w:rsidRPr="00D51AE5">
              <w:rPr>
                <w:rFonts w:ascii="Arial" w:hAnsi="Arial" w:cs="Arial"/>
                <w:spacing w:val="-2"/>
              </w:rPr>
              <w:t xml:space="preserve"> </w:t>
            </w:r>
            <w:r w:rsidRPr="00D51AE5">
              <w:rPr>
                <w:rFonts w:ascii="Arial" w:hAnsi="Arial" w:cs="Arial"/>
              </w:rPr>
              <w:t>is</w:t>
            </w:r>
            <w:r w:rsidRPr="00D51AE5">
              <w:rPr>
                <w:rFonts w:ascii="Arial" w:hAnsi="Arial" w:cs="Arial"/>
                <w:spacing w:val="-3"/>
              </w:rPr>
              <w:t xml:space="preserve"> </w:t>
            </w:r>
            <w:r w:rsidRPr="00D51AE5">
              <w:rPr>
                <w:rFonts w:ascii="Arial" w:hAnsi="Arial" w:cs="Arial"/>
              </w:rPr>
              <w:t>allowed</w:t>
            </w:r>
            <w:r w:rsidRPr="00D51AE5">
              <w:rPr>
                <w:rFonts w:ascii="Arial" w:hAnsi="Arial" w:cs="Arial"/>
                <w:spacing w:val="-4"/>
              </w:rPr>
              <w:t xml:space="preserve"> </w:t>
            </w:r>
            <w:r w:rsidRPr="00D51AE5">
              <w:rPr>
                <w:rFonts w:ascii="Arial" w:hAnsi="Arial" w:cs="Arial"/>
              </w:rPr>
              <w:t>and</w:t>
            </w:r>
            <w:r w:rsidRPr="00D51AE5">
              <w:rPr>
                <w:rFonts w:ascii="Arial" w:hAnsi="Arial" w:cs="Arial"/>
                <w:spacing w:val="-4"/>
              </w:rPr>
              <w:t xml:space="preserve"> </w:t>
            </w:r>
            <w:r w:rsidRPr="00D51AE5">
              <w:rPr>
                <w:rFonts w:ascii="Arial" w:hAnsi="Arial" w:cs="Arial"/>
              </w:rPr>
              <w:t>shall,</w:t>
            </w:r>
            <w:r w:rsidRPr="00D51AE5">
              <w:rPr>
                <w:rFonts w:ascii="Arial" w:hAnsi="Arial" w:cs="Arial"/>
                <w:spacing w:val="-3"/>
              </w:rPr>
              <w:t xml:space="preserve"> </w:t>
            </w:r>
            <w:r w:rsidRPr="00D51AE5">
              <w:rPr>
                <w:rFonts w:ascii="Arial" w:hAnsi="Arial" w:cs="Arial"/>
              </w:rPr>
              <w:t>in</w:t>
            </w:r>
            <w:r w:rsidRPr="00D51AE5">
              <w:rPr>
                <w:rFonts w:ascii="Arial" w:hAnsi="Arial" w:cs="Arial"/>
                <w:spacing w:val="-4"/>
              </w:rPr>
              <w:t xml:space="preserve"> </w:t>
            </w:r>
            <w:r w:rsidRPr="00D51AE5">
              <w:rPr>
                <w:rFonts w:ascii="Arial" w:hAnsi="Arial" w:cs="Arial"/>
              </w:rPr>
              <w:t>no</w:t>
            </w:r>
            <w:r w:rsidRPr="00D51AE5">
              <w:rPr>
                <w:rFonts w:ascii="Arial" w:hAnsi="Arial" w:cs="Arial"/>
                <w:spacing w:val="-5"/>
              </w:rPr>
              <w:t xml:space="preserve"> </w:t>
            </w:r>
            <w:r w:rsidRPr="00D51AE5">
              <w:rPr>
                <w:rFonts w:ascii="Arial" w:hAnsi="Arial" w:cs="Arial"/>
              </w:rPr>
              <w:t>case,</w:t>
            </w:r>
            <w:r w:rsidRPr="00D51AE5">
              <w:rPr>
                <w:rFonts w:ascii="Arial" w:hAnsi="Arial" w:cs="Arial"/>
                <w:spacing w:val="-3"/>
              </w:rPr>
              <w:t xml:space="preserve"> </w:t>
            </w:r>
            <w:r w:rsidRPr="00D51AE5">
              <w:rPr>
                <w:rFonts w:ascii="Arial" w:hAnsi="Arial" w:cs="Arial"/>
              </w:rPr>
              <w:t>exceed</w:t>
            </w:r>
            <w:r w:rsidRPr="00D51AE5">
              <w:rPr>
                <w:rFonts w:ascii="Arial" w:hAnsi="Arial" w:cs="Arial"/>
                <w:spacing w:val="-4"/>
              </w:rPr>
              <w:t xml:space="preserve"> </w:t>
            </w:r>
            <w:r w:rsidRPr="00D51AE5">
              <w:rPr>
                <w:rFonts w:ascii="Arial" w:hAnsi="Arial" w:cs="Arial"/>
              </w:rPr>
              <w:t>sixty</w:t>
            </w:r>
            <w:r w:rsidRPr="00D51AE5">
              <w:rPr>
                <w:rFonts w:ascii="Arial" w:hAnsi="Arial" w:cs="Arial"/>
                <w:spacing w:val="-3"/>
              </w:rPr>
              <w:t xml:space="preserve"> </w:t>
            </w:r>
            <w:r w:rsidRPr="00D51AE5">
              <w:rPr>
                <w:rFonts w:ascii="Arial" w:hAnsi="Arial" w:cs="Arial"/>
              </w:rPr>
              <w:t>(60)</w:t>
            </w:r>
            <w:r w:rsidRPr="00D51AE5">
              <w:rPr>
                <w:rFonts w:ascii="Arial" w:hAnsi="Arial" w:cs="Arial"/>
                <w:spacing w:val="-3"/>
              </w:rPr>
              <w:t xml:space="preserve"> </w:t>
            </w:r>
            <w:r w:rsidRPr="00D51AE5">
              <w:rPr>
                <w:rFonts w:ascii="Arial" w:hAnsi="Arial" w:cs="Arial"/>
                <w:spacing w:val="-2"/>
              </w:rPr>
              <w:t xml:space="preserve">days. </w:t>
            </w:r>
            <w:r w:rsidRPr="00D51AE5">
              <w:rPr>
                <w:rFonts w:ascii="Arial" w:hAnsi="Arial" w:cs="Arial"/>
              </w:rPr>
              <w:t>For this purpose, the Citizen’s Charter of the REMB shall be amended to reflect the timelines herein provided.</w:t>
            </w:r>
          </w:p>
        </w:tc>
        <w:tc>
          <w:tcPr>
            <w:tcW w:w="3590" w:type="dxa"/>
          </w:tcPr>
          <w:p w14:paraId="05ED59BE" w14:textId="77777777" w:rsidR="006C4239" w:rsidRPr="006A1E11" w:rsidRDefault="006C4239" w:rsidP="006A1E11">
            <w:pPr>
              <w:ind w:left="360"/>
              <w:jc w:val="both"/>
            </w:pPr>
          </w:p>
        </w:tc>
        <w:tc>
          <w:tcPr>
            <w:tcW w:w="4267" w:type="dxa"/>
          </w:tcPr>
          <w:p w14:paraId="0A64300F" w14:textId="77777777" w:rsidR="006C4239" w:rsidRPr="006A1E11" w:rsidRDefault="006C4239" w:rsidP="006A1E11">
            <w:pPr>
              <w:ind w:left="360"/>
              <w:jc w:val="both"/>
            </w:pPr>
          </w:p>
        </w:tc>
      </w:tr>
      <w:tr w:rsidR="006C4239" w:rsidRPr="00D51AE5" w14:paraId="2280CFE0" w14:textId="192A0248" w:rsidTr="007639A7">
        <w:tc>
          <w:tcPr>
            <w:tcW w:w="6044" w:type="dxa"/>
          </w:tcPr>
          <w:p w14:paraId="48D15A44" w14:textId="77777777" w:rsidR="006C4239" w:rsidRPr="00D51AE5" w:rsidRDefault="006C4239" w:rsidP="006C4239">
            <w:pPr>
              <w:pStyle w:val="BodyText"/>
              <w:contextualSpacing/>
              <w:jc w:val="both"/>
              <w:rPr>
                <w:spacing w:val="-2"/>
              </w:rPr>
            </w:pPr>
            <w:r w:rsidRPr="00D51AE5">
              <w:rPr>
                <w:b/>
              </w:rPr>
              <w:t>Section 2. Information, Education and Communication Activities</w:t>
            </w:r>
            <w:r w:rsidRPr="00D51AE5">
              <w:t>. Pursuant to Section 31, Rule 10 of the IRR of the RE Act, the DOE, together with National Renewable Energy Board, shall develop and implement a comprehensive information, education and communication activities that are designed to increase</w:t>
            </w:r>
            <w:r w:rsidRPr="00D51AE5">
              <w:rPr>
                <w:spacing w:val="40"/>
              </w:rPr>
              <w:t xml:space="preserve"> </w:t>
            </w:r>
            <w:r w:rsidRPr="00D51AE5">
              <w:t>the public awareness and appreciation of this Circular and the RE industry in</w:t>
            </w:r>
            <w:r w:rsidRPr="00D51AE5">
              <w:rPr>
                <w:spacing w:val="40"/>
              </w:rPr>
              <w:t xml:space="preserve"> </w:t>
            </w:r>
            <w:r w:rsidRPr="00D51AE5">
              <w:rPr>
                <w:spacing w:val="-2"/>
              </w:rPr>
              <w:t>general.</w:t>
            </w:r>
          </w:p>
        </w:tc>
        <w:tc>
          <w:tcPr>
            <w:tcW w:w="3590" w:type="dxa"/>
          </w:tcPr>
          <w:p w14:paraId="58C575DD" w14:textId="77777777" w:rsidR="006C4239" w:rsidRPr="00D51AE5" w:rsidRDefault="006C4239" w:rsidP="006A1E11">
            <w:pPr>
              <w:pStyle w:val="BodyText"/>
              <w:ind w:left="360"/>
              <w:contextualSpacing/>
              <w:jc w:val="both"/>
              <w:rPr>
                <w:b/>
              </w:rPr>
            </w:pPr>
          </w:p>
        </w:tc>
        <w:tc>
          <w:tcPr>
            <w:tcW w:w="4267" w:type="dxa"/>
          </w:tcPr>
          <w:p w14:paraId="7BA647AA" w14:textId="77777777" w:rsidR="006C4239" w:rsidRPr="00D51AE5" w:rsidRDefault="006C4239" w:rsidP="006A1E11">
            <w:pPr>
              <w:pStyle w:val="BodyText"/>
              <w:ind w:left="360"/>
              <w:contextualSpacing/>
              <w:jc w:val="both"/>
              <w:rPr>
                <w:b/>
              </w:rPr>
            </w:pPr>
          </w:p>
        </w:tc>
      </w:tr>
      <w:tr w:rsidR="006C4239" w:rsidRPr="00D51AE5" w14:paraId="24433688" w14:textId="5276A963" w:rsidTr="007639A7">
        <w:tc>
          <w:tcPr>
            <w:tcW w:w="6044" w:type="dxa"/>
          </w:tcPr>
          <w:p w14:paraId="537756A1" w14:textId="77777777" w:rsidR="006C4239" w:rsidRPr="00D51AE5" w:rsidRDefault="006C4239" w:rsidP="006C4239">
            <w:pPr>
              <w:pStyle w:val="BodyText"/>
              <w:contextualSpacing/>
              <w:jc w:val="both"/>
            </w:pPr>
            <w:r w:rsidRPr="00D51AE5">
              <w:rPr>
                <w:b/>
              </w:rPr>
              <w:t xml:space="preserve">Section 3. Separability Clause. </w:t>
            </w:r>
            <w:r w:rsidRPr="00D51AE5">
              <w:t>If for any reason, any provision of this Circular is declared unconstitutional or invalid by a court of competent jurisdiction, the other parts or provisions not affected thereby shall remain in full force and effect.</w:t>
            </w:r>
          </w:p>
        </w:tc>
        <w:tc>
          <w:tcPr>
            <w:tcW w:w="3590" w:type="dxa"/>
          </w:tcPr>
          <w:p w14:paraId="0B5D4F80" w14:textId="77777777" w:rsidR="006C4239" w:rsidRPr="00D51AE5" w:rsidRDefault="006C4239" w:rsidP="006A1E11">
            <w:pPr>
              <w:pStyle w:val="BodyText"/>
              <w:ind w:left="360"/>
              <w:contextualSpacing/>
              <w:jc w:val="both"/>
              <w:rPr>
                <w:b/>
              </w:rPr>
            </w:pPr>
          </w:p>
        </w:tc>
        <w:tc>
          <w:tcPr>
            <w:tcW w:w="4267" w:type="dxa"/>
          </w:tcPr>
          <w:p w14:paraId="2D4D0C90" w14:textId="77777777" w:rsidR="006C4239" w:rsidRPr="00D51AE5" w:rsidRDefault="006C4239" w:rsidP="006A1E11">
            <w:pPr>
              <w:pStyle w:val="BodyText"/>
              <w:ind w:left="360"/>
              <w:contextualSpacing/>
              <w:jc w:val="both"/>
              <w:rPr>
                <w:b/>
              </w:rPr>
            </w:pPr>
          </w:p>
        </w:tc>
      </w:tr>
      <w:tr w:rsidR="006C4239" w:rsidRPr="00D51AE5" w14:paraId="3C4AE66C" w14:textId="08DF4E57" w:rsidTr="007639A7">
        <w:tc>
          <w:tcPr>
            <w:tcW w:w="6044" w:type="dxa"/>
          </w:tcPr>
          <w:p w14:paraId="1D937060" w14:textId="77777777" w:rsidR="006C4239" w:rsidRPr="00D51AE5" w:rsidRDefault="006C4239" w:rsidP="006C4239">
            <w:pPr>
              <w:pStyle w:val="BodyText"/>
              <w:contextualSpacing/>
              <w:jc w:val="both"/>
            </w:pPr>
            <w:r w:rsidRPr="00D51AE5">
              <w:rPr>
                <w:b/>
              </w:rPr>
              <w:t xml:space="preserve">Section 4. Repealing Clause. </w:t>
            </w:r>
            <w:r w:rsidRPr="00D51AE5">
              <w:t>The provisions of other circulars, orders, issuances, rules and regulations, which are inconsistent with the provisions of this Circular are hereby repealed, amended, superseded or modified accordingly.</w:t>
            </w:r>
          </w:p>
        </w:tc>
        <w:tc>
          <w:tcPr>
            <w:tcW w:w="3590" w:type="dxa"/>
          </w:tcPr>
          <w:p w14:paraId="313700D3" w14:textId="77777777" w:rsidR="006C4239" w:rsidRPr="00D51AE5" w:rsidRDefault="006C4239" w:rsidP="006A1E11">
            <w:pPr>
              <w:pStyle w:val="BodyText"/>
              <w:ind w:left="360"/>
              <w:contextualSpacing/>
              <w:jc w:val="both"/>
              <w:rPr>
                <w:b/>
              </w:rPr>
            </w:pPr>
          </w:p>
        </w:tc>
        <w:tc>
          <w:tcPr>
            <w:tcW w:w="4267" w:type="dxa"/>
          </w:tcPr>
          <w:p w14:paraId="79CD067D" w14:textId="77777777" w:rsidR="006C4239" w:rsidRPr="00D51AE5" w:rsidRDefault="006C4239" w:rsidP="006A1E11">
            <w:pPr>
              <w:pStyle w:val="BodyText"/>
              <w:ind w:left="360"/>
              <w:contextualSpacing/>
              <w:jc w:val="both"/>
              <w:rPr>
                <w:b/>
              </w:rPr>
            </w:pPr>
          </w:p>
        </w:tc>
      </w:tr>
      <w:tr w:rsidR="006C4239" w:rsidRPr="005F5A7F" w14:paraId="6C56861A" w14:textId="44F28D9F" w:rsidTr="007639A7">
        <w:tc>
          <w:tcPr>
            <w:tcW w:w="6044" w:type="dxa"/>
          </w:tcPr>
          <w:p w14:paraId="265D8225" w14:textId="77777777" w:rsidR="006C4239" w:rsidRPr="005F5A7F" w:rsidRDefault="006C4239" w:rsidP="006C4239">
            <w:pPr>
              <w:pStyle w:val="BodyText"/>
              <w:contextualSpacing/>
              <w:jc w:val="both"/>
            </w:pPr>
            <w:r w:rsidRPr="00D51AE5">
              <w:rPr>
                <w:b/>
              </w:rPr>
              <w:t xml:space="preserve">Section 5. Effectivity. </w:t>
            </w:r>
            <w:r w:rsidRPr="00D51AE5">
              <w:t>This Circular shall take into effect fifteen (15) days following its publication in at least two (2) newspapers of general circulation. Copies of this Circular shall be</w:t>
            </w:r>
            <w:r w:rsidRPr="00D51AE5">
              <w:rPr>
                <w:spacing w:val="-1"/>
              </w:rPr>
              <w:t xml:space="preserve"> </w:t>
            </w:r>
            <w:r w:rsidRPr="00D51AE5">
              <w:t>filed with the</w:t>
            </w:r>
            <w:r w:rsidRPr="00D51AE5">
              <w:rPr>
                <w:spacing w:val="-1"/>
              </w:rPr>
              <w:t xml:space="preserve"> </w:t>
            </w:r>
            <w:r w:rsidRPr="00D51AE5">
              <w:t>University of</w:t>
            </w:r>
            <w:r w:rsidRPr="00D51AE5">
              <w:rPr>
                <w:spacing w:val="-2"/>
              </w:rPr>
              <w:t xml:space="preserve"> </w:t>
            </w:r>
            <w:r w:rsidRPr="00D51AE5">
              <w:t>the Philippines Law</w:t>
            </w:r>
            <w:r w:rsidRPr="00D51AE5">
              <w:rPr>
                <w:spacing w:val="-1"/>
              </w:rPr>
              <w:t xml:space="preserve"> </w:t>
            </w:r>
            <w:r w:rsidRPr="00D51AE5">
              <w:t>Center –</w:t>
            </w:r>
            <w:r w:rsidRPr="00D51AE5">
              <w:rPr>
                <w:spacing w:val="-1"/>
              </w:rPr>
              <w:t xml:space="preserve"> </w:t>
            </w:r>
            <w:r w:rsidRPr="00D51AE5">
              <w:t>Office of the National Administrative Register.</w:t>
            </w:r>
          </w:p>
        </w:tc>
        <w:tc>
          <w:tcPr>
            <w:tcW w:w="3590" w:type="dxa"/>
          </w:tcPr>
          <w:p w14:paraId="3CB54710" w14:textId="77777777" w:rsidR="006C4239" w:rsidRPr="00D51AE5" w:rsidRDefault="006C4239" w:rsidP="006A1E11">
            <w:pPr>
              <w:pStyle w:val="BodyText"/>
              <w:ind w:left="360"/>
              <w:contextualSpacing/>
              <w:jc w:val="both"/>
              <w:rPr>
                <w:b/>
              </w:rPr>
            </w:pPr>
          </w:p>
        </w:tc>
        <w:tc>
          <w:tcPr>
            <w:tcW w:w="4267" w:type="dxa"/>
          </w:tcPr>
          <w:p w14:paraId="282FE900" w14:textId="77777777" w:rsidR="006C4239" w:rsidRPr="00D51AE5" w:rsidRDefault="006C4239" w:rsidP="006A1E11">
            <w:pPr>
              <w:pStyle w:val="BodyText"/>
              <w:ind w:left="360"/>
              <w:contextualSpacing/>
              <w:jc w:val="both"/>
              <w:rPr>
                <w:b/>
              </w:rPr>
            </w:pPr>
          </w:p>
        </w:tc>
      </w:tr>
    </w:tbl>
    <w:p w14:paraId="03DBC3ED" w14:textId="6330C259" w:rsidR="001819D4" w:rsidRPr="005F5A7F" w:rsidRDefault="001819D4" w:rsidP="00D51AE5">
      <w:pPr>
        <w:pStyle w:val="BodyText"/>
        <w:contextualSpacing/>
        <w:jc w:val="both"/>
      </w:pPr>
    </w:p>
    <w:sectPr w:rsidR="001819D4" w:rsidRPr="005F5A7F" w:rsidSect="00D51AE5">
      <w:headerReference w:type="default" r:id="rId12"/>
      <w:pgSz w:w="16838" w:h="11906" w:orient="landscape"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 Margarette B. Rivera" w:date="2023-08-31T15:27:00Z" w:initials="MMBR">
    <w:p w14:paraId="4E638A48" w14:textId="77777777" w:rsidR="006C4239" w:rsidRDefault="006C4239" w:rsidP="00960CEF">
      <w:pPr>
        <w:pStyle w:val="CommentText"/>
      </w:pPr>
      <w:r>
        <w:rPr>
          <w:rStyle w:val="CommentReference"/>
        </w:rPr>
        <w:annotationRef/>
      </w:r>
      <w:r>
        <w:rPr>
          <w:lang w:val="en-PH"/>
        </w:rPr>
        <w:t>Find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638A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2FC4" w16cex:dateUtc="2023-08-31T07:27:00Z">
    <w16cex:extLst>
      <w16:ext w16:uri="{CE6994B0-6A32-4C9F-8C6B-6E91EDA988CE}">
        <cr:reactions xmlns:cr="http://schemas.microsoft.com/office/comments/2020/reactions">
          <cr:reaction reactionType="1">
            <cr:reactionInfo dateUtc="2023-09-05T01:05:54Z">
              <cr:user userId="S::mrivera@doe.gov.ph::a99ce8a6-bd08-47e4-a55d-697139fa5a61" userProvider="AD" userName="Ma. Margarette B. River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638A48" w16cid:durableId="289B2F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91FCF" w14:textId="77777777" w:rsidR="00B1567E" w:rsidRDefault="00B1567E" w:rsidP="00A30793">
      <w:pPr>
        <w:spacing w:after="0" w:line="240" w:lineRule="auto"/>
      </w:pPr>
      <w:r>
        <w:separator/>
      </w:r>
    </w:p>
  </w:endnote>
  <w:endnote w:type="continuationSeparator" w:id="0">
    <w:p w14:paraId="2AD7E673" w14:textId="77777777" w:rsidR="00B1567E" w:rsidRDefault="00B1567E" w:rsidP="00A3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DFCF4" w14:textId="77777777" w:rsidR="00B1567E" w:rsidRDefault="00B1567E" w:rsidP="00A30793">
      <w:pPr>
        <w:spacing w:after="0" w:line="240" w:lineRule="auto"/>
      </w:pPr>
      <w:r>
        <w:separator/>
      </w:r>
    </w:p>
  </w:footnote>
  <w:footnote w:type="continuationSeparator" w:id="0">
    <w:p w14:paraId="092EEA30" w14:textId="77777777" w:rsidR="00B1567E" w:rsidRDefault="00B1567E" w:rsidP="00A30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0AFB" w14:textId="77777777" w:rsidR="00A30793" w:rsidRPr="005677A7" w:rsidRDefault="00A30793" w:rsidP="00A30793">
    <w:pPr>
      <w:pStyle w:val="NoSpacing"/>
      <w:jc w:val="center"/>
      <w:rPr>
        <w:b/>
        <w:bCs/>
      </w:rPr>
    </w:pPr>
    <w:r>
      <w:rPr>
        <w:b/>
        <w:bCs/>
      </w:rPr>
      <w:t>&lt;</w:t>
    </w:r>
    <w:r w:rsidRPr="00040EFE">
      <w:rPr>
        <w:b/>
        <w:bCs/>
        <w:color w:val="FF0000"/>
      </w:rPr>
      <w:t>COMPANY NAME</w:t>
    </w:r>
    <w:r>
      <w:rPr>
        <w:b/>
        <w:bCs/>
      </w:rPr>
      <w:t>&gt; Comments on the Draft Department Circular on</w:t>
    </w:r>
    <w:r>
      <w:rPr>
        <w:b/>
        <w:bCs/>
      </w:rPr>
      <w:br/>
    </w:r>
    <w:bookmarkStart w:id="10" w:name="_Hlk106964847"/>
    <w:r w:rsidRPr="005677A7">
      <w:rPr>
        <w:b/>
        <w:bCs/>
      </w:rPr>
      <w:t>“</w:t>
    </w:r>
    <w:r w:rsidRPr="005677A7">
      <w:rPr>
        <w:b/>
        <w:bCs/>
        <w:i/>
        <w:szCs w:val="24"/>
      </w:rPr>
      <w:t>Revised Omnibus Guidelines Governing the Award and Administration of Renewable Energy Contracts and the Registration of Renewable Energy Developers</w:t>
    </w:r>
    <w:r w:rsidRPr="005677A7">
      <w:rPr>
        <w:b/>
        <w:bCs/>
      </w:rPr>
      <w:t xml:space="preserve">” </w:t>
    </w:r>
    <w:r w:rsidRPr="005677A7">
      <w:rPr>
        <w:b/>
        <w:bCs/>
        <w:i/>
        <w:iCs/>
      </w:rPr>
      <w:t>for Hydropower and Ocean Energy Resources</w:t>
    </w:r>
    <w:r w:rsidRPr="005677A7">
      <w:rPr>
        <w:b/>
        <w:bCs/>
      </w:rPr>
      <w:t>.</w:t>
    </w:r>
  </w:p>
  <w:bookmarkEnd w:id="10"/>
  <w:p w14:paraId="6DA2A53D" w14:textId="77777777" w:rsidR="00A30793" w:rsidRDefault="00A30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CA0"/>
    <w:multiLevelType w:val="multilevel"/>
    <w:tmpl w:val="0BECB5B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1333F8"/>
    <w:multiLevelType w:val="hybridMultilevel"/>
    <w:tmpl w:val="D0A60B12"/>
    <w:lvl w:ilvl="0" w:tplc="0BDE934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2732E0D"/>
    <w:multiLevelType w:val="multilevel"/>
    <w:tmpl w:val="B13A9DF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300752"/>
    <w:multiLevelType w:val="hybridMultilevel"/>
    <w:tmpl w:val="1AD82190"/>
    <w:lvl w:ilvl="0" w:tplc="0BDE934C">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03C663F8"/>
    <w:multiLevelType w:val="multilevel"/>
    <w:tmpl w:val="E8582BFA"/>
    <w:lvl w:ilvl="0">
      <w:start w:val="12"/>
      <w:numFmt w:val="decimal"/>
      <w:lvlText w:val="%1"/>
      <w:lvlJc w:val="left"/>
      <w:pPr>
        <w:ind w:left="465" w:hanging="465"/>
      </w:pPr>
      <w:rPr>
        <w:rFonts w:eastAsiaTheme="minorHAnsi" w:hint="default"/>
        <w:b/>
      </w:rPr>
    </w:lvl>
    <w:lvl w:ilvl="1">
      <w:start w:val="1"/>
      <w:numFmt w:val="decimal"/>
      <w:lvlText w:val="%1.%2"/>
      <w:lvlJc w:val="left"/>
      <w:pPr>
        <w:ind w:left="607" w:hanging="465"/>
      </w:pPr>
      <w:rPr>
        <w:rFonts w:eastAsiaTheme="minorHAnsi" w:hint="default"/>
        <w:b/>
      </w:rPr>
    </w:lvl>
    <w:lvl w:ilvl="2">
      <w:start w:val="1"/>
      <w:numFmt w:val="decimal"/>
      <w:lvlText w:val="%1.%2.%3"/>
      <w:lvlJc w:val="left"/>
      <w:pPr>
        <w:ind w:left="2160" w:hanging="720"/>
      </w:pPr>
      <w:rPr>
        <w:rFonts w:eastAsiaTheme="minorHAnsi" w:hint="default"/>
        <w:b/>
      </w:rPr>
    </w:lvl>
    <w:lvl w:ilvl="3">
      <w:start w:val="1"/>
      <w:numFmt w:val="decimal"/>
      <w:lvlText w:val="%1.%2.%3.%4"/>
      <w:lvlJc w:val="left"/>
      <w:pPr>
        <w:ind w:left="3240" w:hanging="1080"/>
      </w:pPr>
      <w:rPr>
        <w:rFonts w:eastAsiaTheme="minorHAnsi" w:hint="default"/>
        <w:b/>
      </w:rPr>
    </w:lvl>
    <w:lvl w:ilvl="4">
      <w:start w:val="1"/>
      <w:numFmt w:val="decimal"/>
      <w:lvlText w:val="%1.%2.%3.%4.%5"/>
      <w:lvlJc w:val="left"/>
      <w:pPr>
        <w:ind w:left="3960" w:hanging="1080"/>
      </w:pPr>
      <w:rPr>
        <w:rFonts w:eastAsiaTheme="minorHAnsi" w:hint="default"/>
        <w:b/>
      </w:rPr>
    </w:lvl>
    <w:lvl w:ilvl="5">
      <w:start w:val="1"/>
      <w:numFmt w:val="decimal"/>
      <w:lvlText w:val="%1.%2.%3.%4.%5.%6"/>
      <w:lvlJc w:val="left"/>
      <w:pPr>
        <w:ind w:left="5040" w:hanging="1440"/>
      </w:pPr>
      <w:rPr>
        <w:rFonts w:eastAsiaTheme="minorHAnsi" w:hint="default"/>
        <w:b/>
      </w:rPr>
    </w:lvl>
    <w:lvl w:ilvl="6">
      <w:start w:val="1"/>
      <w:numFmt w:val="decimal"/>
      <w:lvlText w:val="%1.%2.%3.%4.%5.%6.%7"/>
      <w:lvlJc w:val="left"/>
      <w:pPr>
        <w:ind w:left="5760" w:hanging="1440"/>
      </w:pPr>
      <w:rPr>
        <w:rFonts w:eastAsiaTheme="minorHAnsi" w:hint="default"/>
        <w:b/>
      </w:rPr>
    </w:lvl>
    <w:lvl w:ilvl="7">
      <w:start w:val="1"/>
      <w:numFmt w:val="decimal"/>
      <w:lvlText w:val="%1.%2.%3.%4.%5.%6.%7.%8"/>
      <w:lvlJc w:val="left"/>
      <w:pPr>
        <w:ind w:left="6840" w:hanging="1800"/>
      </w:pPr>
      <w:rPr>
        <w:rFonts w:eastAsiaTheme="minorHAnsi" w:hint="default"/>
        <w:b/>
      </w:rPr>
    </w:lvl>
    <w:lvl w:ilvl="8">
      <w:start w:val="1"/>
      <w:numFmt w:val="decimal"/>
      <w:lvlText w:val="%1.%2.%3.%4.%5.%6.%7.%8.%9"/>
      <w:lvlJc w:val="left"/>
      <w:pPr>
        <w:ind w:left="7560" w:hanging="1800"/>
      </w:pPr>
      <w:rPr>
        <w:rFonts w:eastAsiaTheme="minorHAnsi" w:hint="default"/>
        <w:b/>
      </w:rPr>
    </w:lvl>
  </w:abstractNum>
  <w:abstractNum w:abstractNumId="5" w15:restartNumberingAfterBreak="0">
    <w:nsid w:val="067D2958"/>
    <w:multiLevelType w:val="multilevel"/>
    <w:tmpl w:val="C386989C"/>
    <w:lvl w:ilvl="0">
      <w:start w:val="5"/>
      <w:numFmt w:val="decimal"/>
      <w:lvlText w:val="%1"/>
      <w:lvlJc w:val="left"/>
      <w:pPr>
        <w:ind w:left="360" w:hanging="360"/>
      </w:pPr>
      <w:rPr>
        <w:rFonts w:hint="default"/>
        <w:b/>
      </w:rPr>
    </w:lvl>
    <w:lvl w:ilvl="1">
      <w:start w:val="1"/>
      <w:numFmt w:val="decimal"/>
      <w:lvlText w:val="%1.%2"/>
      <w:lvlJc w:val="left"/>
      <w:pPr>
        <w:ind w:left="885" w:hanging="360"/>
      </w:pPr>
      <w:rPr>
        <w:rFonts w:hint="default"/>
        <w:b/>
      </w:rPr>
    </w:lvl>
    <w:lvl w:ilvl="2">
      <w:start w:val="1"/>
      <w:numFmt w:val="decimal"/>
      <w:lvlText w:val="%1.%2.%3"/>
      <w:lvlJc w:val="left"/>
      <w:pPr>
        <w:ind w:left="1770" w:hanging="720"/>
      </w:pPr>
      <w:rPr>
        <w:rFonts w:hint="default"/>
        <w:b w:val="0"/>
        <w:bCs/>
      </w:rPr>
    </w:lvl>
    <w:lvl w:ilvl="3">
      <w:start w:val="1"/>
      <w:numFmt w:val="decimal"/>
      <w:lvlText w:val="%1.%2.%3.%4"/>
      <w:lvlJc w:val="left"/>
      <w:pPr>
        <w:ind w:left="2655" w:hanging="1080"/>
      </w:pPr>
      <w:rPr>
        <w:rFonts w:hint="default"/>
        <w:b w:val="0"/>
        <w:bCs/>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6" w15:restartNumberingAfterBreak="0">
    <w:nsid w:val="072A1768"/>
    <w:multiLevelType w:val="hybridMultilevel"/>
    <w:tmpl w:val="F72E4C78"/>
    <w:lvl w:ilvl="0" w:tplc="73EECEC6">
      <w:start w:val="1"/>
      <w:numFmt w:val="lowerRoman"/>
      <w:lvlText w:val="%1."/>
      <w:lvlJc w:val="left"/>
      <w:pPr>
        <w:ind w:left="3960" w:hanging="720"/>
      </w:pPr>
      <w:rPr>
        <w:rFonts w:eastAsiaTheme="minorHAnsi" w:hint="default"/>
      </w:rPr>
    </w:lvl>
    <w:lvl w:ilvl="1" w:tplc="34090019" w:tentative="1">
      <w:start w:val="1"/>
      <w:numFmt w:val="lowerLetter"/>
      <w:lvlText w:val="%2."/>
      <w:lvlJc w:val="left"/>
      <w:pPr>
        <w:ind w:left="4320" w:hanging="360"/>
      </w:pPr>
    </w:lvl>
    <w:lvl w:ilvl="2" w:tplc="3409001B" w:tentative="1">
      <w:start w:val="1"/>
      <w:numFmt w:val="lowerRoman"/>
      <w:lvlText w:val="%3."/>
      <w:lvlJc w:val="right"/>
      <w:pPr>
        <w:ind w:left="5040" w:hanging="180"/>
      </w:pPr>
    </w:lvl>
    <w:lvl w:ilvl="3" w:tplc="3409000F" w:tentative="1">
      <w:start w:val="1"/>
      <w:numFmt w:val="decimal"/>
      <w:lvlText w:val="%4."/>
      <w:lvlJc w:val="left"/>
      <w:pPr>
        <w:ind w:left="5760" w:hanging="360"/>
      </w:pPr>
    </w:lvl>
    <w:lvl w:ilvl="4" w:tplc="34090019" w:tentative="1">
      <w:start w:val="1"/>
      <w:numFmt w:val="lowerLetter"/>
      <w:lvlText w:val="%5."/>
      <w:lvlJc w:val="left"/>
      <w:pPr>
        <w:ind w:left="6480" w:hanging="360"/>
      </w:pPr>
    </w:lvl>
    <w:lvl w:ilvl="5" w:tplc="3409001B" w:tentative="1">
      <w:start w:val="1"/>
      <w:numFmt w:val="lowerRoman"/>
      <w:lvlText w:val="%6."/>
      <w:lvlJc w:val="right"/>
      <w:pPr>
        <w:ind w:left="7200" w:hanging="180"/>
      </w:pPr>
    </w:lvl>
    <w:lvl w:ilvl="6" w:tplc="3409000F" w:tentative="1">
      <w:start w:val="1"/>
      <w:numFmt w:val="decimal"/>
      <w:lvlText w:val="%7."/>
      <w:lvlJc w:val="left"/>
      <w:pPr>
        <w:ind w:left="7920" w:hanging="360"/>
      </w:pPr>
    </w:lvl>
    <w:lvl w:ilvl="7" w:tplc="34090019" w:tentative="1">
      <w:start w:val="1"/>
      <w:numFmt w:val="lowerLetter"/>
      <w:lvlText w:val="%8."/>
      <w:lvlJc w:val="left"/>
      <w:pPr>
        <w:ind w:left="8640" w:hanging="360"/>
      </w:pPr>
    </w:lvl>
    <w:lvl w:ilvl="8" w:tplc="3409001B" w:tentative="1">
      <w:start w:val="1"/>
      <w:numFmt w:val="lowerRoman"/>
      <w:lvlText w:val="%9."/>
      <w:lvlJc w:val="right"/>
      <w:pPr>
        <w:ind w:left="9360" w:hanging="180"/>
      </w:pPr>
    </w:lvl>
  </w:abstractNum>
  <w:abstractNum w:abstractNumId="7" w15:restartNumberingAfterBreak="0">
    <w:nsid w:val="08085E76"/>
    <w:multiLevelType w:val="multilevel"/>
    <w:tmpl w:val="3CB442B4"/>
    <w:lvl w:ilvl="0">
      <w:start w:val="15"/>
      <w:numFmt w:val="decimal"/>
      <w:lvlText w:val="%1"/>
      <w:lvlJc w:val="left"/>
      <w:pPr>
        <w:ind w:left="465" w:hanging="465"/>
      </w:pPr>
      <w:rPr>
        <w:rFonts w:hint="default"/>
      </w:rPr>
    </w:lvl>
    <w:lvl w:ilvl="1">
      <w:start w:val="6"/>
      <w:numFmt w:val="decimal"/>
      <w:lvlText w:val="%1.%2"/>
      <w:lvlJc w:val="left"/>
      <w:pPr>
        <w:ind w:left="1245" w:hanging="46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0B77032B"/>
    <w:multiLevelType w:val="multilevel"/>
    <w:tmpl w:val="8212528E"/>
    <w:lvl w:ilvl="0">
      <w:start w:val="4"/>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0B7F3F30"/>
    <w:multiLevelType w:val="multilevel"/>
    <w:tmpl w:val="8F38F60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0CB11A4C"/>
    <w:multiLevelType w:val="multilevel"/>
    <w:tmpl w:val="30F445CA"/>
    <w:lvl w:ilvl="0">
      <w:start w:val="5"/>
      <w:numFmt w:val="decimal"/>
      <w:lvlText w:val="%1"/>
      <w:lvlJc w:val="left"/>
      <w:pPr>
        <w:ind w:left="525" w:hanging="525"/>
      </w:pPr>
      <w:rPr>
        <w:rFonts w:eastAsiaTheme="minorHAnsi" w:hint="default"/>
      </w:rPr>
    </w:lvl>
    <w:lvl w:ilvl="1">
      <w:start w:val="8"/>
      <w:numFmt w:val="decimal"/>
      <w:lvlText w:val="%1.%2"/>
      <w:lvlJc w:val="left"/>
      <w:pPr>
        <w:ind w:left="705" w:hanging="525"/>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620" w:hanging="108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2340" w:hanging="144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3060" w:hanging="180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11" w15:restartNumberingAfterBreak="0">
    <w:nsid w:val="10E42CFB"/>
    <w:multiLevelType w:val="hybridMultilevel"/>
    <w:tmpl w:val="DBA4E404"/>
    <w:lvl w:ilvl="0" w:tplc="2ACAD098">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1A0F6A9D"/>
    <w:multiLevelType w:val="multilevel"/>
    <w:tmpl w:val="C606709A"/>
    <w:lvl w:ilvl="0">
      <w:start w:val="3"/>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3" w15:restartNumberingAfterBreak="0">
    <w:nsid w:val="1AAA18A5"/>
    <w:multiLevelType w:val="hybridMultilevel"/>
    <w:tmpl w:val="462ECA78"/>
    <w:lvl w:ilvl="0" w:tplc="0BDE934C">
      <w:start w:val="1"/>
      <w:numFmt w:val="lowerLetter"/>
      <w:lvlText w:val="(%1)"/>
      <w:lvlJc w:val="left"/>
      <w:pPr>
        <w:ind w:left="2160" w:hanging="360"/>
      </w:pPr>
      <w:rPr>
        <w:rFonts w:hint="default"/>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14" w15:restartNumberingAfterBreak="0">
    <w:nsid w:val="1BE25969"/>
    <w:multiLevelType w:val="multilevel"/>
    <w:tmpl w:val="B85E97D0"/>
    <w:lvl w:ilvl="0">
      <w:start w:val="9"/>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1C384BBD"/>
    <w:multiLevelType w:val="hybridMultilevel"/>
    <w:tmpl w:val="C69844C0"/>
    <w:lvl w:ilvl="0" w:tplc="0BDE934C">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6" w15:restartNumberingAfterBreak="0">
    <w:nsid w:val="1E112503"/>
    <w:multiLevelType w:val="multilevel"/>
    <w:tmpl w:val="1AA47FE8"/>
    <w:lvl w:ilvl="0">
      <w:start w:val="6"/>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480" w:hanging="1800"/>
      </w:pPr>
      <w:rPr>
        <w:rFonts w:hint="default"/>
      </w:rPr>
    </w:lvl>
  </w:abstractNum>
  <w:abstractNum w:abstractNumId="17" w15:restartNumberingAfterBreak="0">
    <w:nsid w:val="1F401217"/>
    <w:multiLevelType w:val="hybridMultilevel"/>
    <w:tmpl w:val="FC701370"/>
    <w:lvl w:ilvl="0" w:tplc="C536635A">
      <w:start w:val="1"/>
      <w:numFmt w:val="lowerLetter"/>
      <w:lvlText w:val="(%1)"/>
      <w:lvlJc w:val="left"/>
      <w:pPr>
        <w:ind w:left="3405" w:hanging="570"/>
      </w:pPr>
      <w:rPr>
        <w:rFonts w:hint="default"/>
      </w:rPr>
    </w:lvl>
    <w:lvl w:ilvl="1" w:tplc="34090019" w:tentative="1">
      <w:start w:val="1"/>
      <w:numFmt w:val="lowerLetter"/>
      <w:lvlText w:val="%2."/>
      <w:lvlJc w:val="left"/>
      <w:pPr>
        <w:ind w:left="3915" w:hanging="360"/>
      </w:pPr>
    </w:lvl>
    <w:lvl w:ilvl="2" w:tplc="3409001B" w:tentative="1">
      <w:start w:val="1"/>
      <w:numFmt w:val="lowerRoman"/>
      <w:lvlText w:val="%3."/>
      <w:lvlJc w:val="right"/>
      <w:pPr>
        <w:ind w:left="4635" w:hanging="180"/>
      </w:pPr>
    </w:lvl>
    <w:lvl w:ilvl="3" w:tplc="3409000F" w:tentative="1">
      <w:start w:val="1"/>
      <w:numFmt w:val="decimal"/>
      <w:lvlText w:val="%4."/>
      <w:lvlJc w:val="left"/>
      <w:pPr>
        <w:ind w:left="5355" w:hanging="360"/>
      </w:pPr>
    </w:lvl>
    <w:lvl w:ilvl="4" w:tplc="34090019" w:tentative="1">
      <w:start w:val="1"/>
      <w:numFmt w:val="lowerLetter"/>
      <w:lvlText w:val="%5."/>
      <w:lvlJc w:val="left"/>
      <w:pPr>
        <w:ind w:left="6075" w:hanging="360"/>
      </w:pPr>
    </w:lvl>
    <w:lvl w:ilvl="5" w:tplc="3409001B" w:tentative="1">
      <w:start w:val="1"/>
      <w:numFmt w:val="lowerRoman"/>
      <w:lvlText w:val="%6."/>
      <w:lvlJc w:val="right"/>
      <w:pPr>
        <w:ind w:left="6795" w:hanging="180"/>
      </w:pPr>
    </w:lvl>
    <w:lvl w:ilvl="6" w:tplc="3409000F" w:tentative="1">
      <w:start w:val="1"/>
      <w:numFmt w:val="decimal"/>
      <w:lvlText w:val="%7."/>
      <w:lvlJc w:val="left"/>
      <w:pPr>
        <w:ind w:left="7515" w:hanging="360"/>
      </w:pPr>
    </w:lvl>
    <w:lvl w:ilvl="7" w:tplc="34090019" w:tentative="1">
      <w:start w:val="1"/>
      <w:numFmt w:val="lowerLetter"/>
      <w:lvlText w:val="%8."/>
      <w:lvlJc w:val="left"/>
      <w:pPr>
        <w:ind w:left="8235" w:hanging="360"/>
      </w:pPr>
    </w:lvl>
    <w:lvl w:ilvl="8" w:tplc="3409001B" w:tentative="1">
      <w:start w:val="1"/>
      <w:numFmt w:val="lowerRoman"/>
      <w:lvlText w:val="%9."/>
      <w:lvlJc w:val="right"/>
      <w:pPr>
        <w:ind w:left="8955" w:hanging="180"/>
      </w:pPr>
    </w:lvl>
  </w:abstractNum>
  <w:abstractNum w:abstractNumId="18" w15:restartNumberingAfterBreak="0">
    <w:nsid w:val="20B75623"/>
    <w:multiLevelType w:val="multilevel"/>
    <w:tmpl w:val="9F60D862"/>
    <w:lvl w:ilvl="0">
      <w:start w:val="5"/>
      <w:numFmt w:val="decimal"/>
      <w:lvlText w:val="%1"/>
      <w:lvlJc w:val="left"/>
      <w:pPr>
        <w:ind w:left="525" w:hanging="525"/>
      </w:pPr>
      <w:rPr>
        <w:rFonts w:hint="default"/>
      </w:rPr>
    </w:lvl>
    <w:lvl w:ilvl="1">
      <w:start w:val="4"/>
      <w:numFmt w:val="decimal"/>
      <w:lvlText w:val="%1.%2"/>
      <w:lvlJc w:val="left"/>
      <w:pPr>
        <w:ind w:left="1446" w:hanging="52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168" w:hanging="1800"/>
      </w:pPr>
      <w:rPr>
        <w:rFonts w:hint="default"/>
      </w:rPr>
    </w:lvl>
  </w:abstractNum>
  <w:abstractNum w:abstractNumId="19" w15:restartNumberingAfterBreak="0">
    <w:nsid w:val="237B6611"/>
    <w:multiLevelType w:val="multilevel"/>
    <w:tmpl w:val="F284599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3D300BE"/>
    <w:multiLevelType w:val="multilevel"/>
    <w:tmpl w:val="2DA80CDA"/>
    <w:lvl w:ilvl="0">
      <w:start w:val="3"/>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1" w15:restartNumberingAfterBreak="0">
    <w:nsid w:val="25544622"/>
    <w:multiLevelType w:val="hybridMultilevel"/>
    <w:tmpl w:val="974604FA"/>
    <w:lvl w:ilvl="0" w:tplc="981A92C0">
      <w:start w:val="1"/>
      <w:numFmt w:val="lowerLetter"/>
      <w:lvlText w:val="(%1)"/>
      <w:lvlJc w:val="left"/>
      <w:pPr>
        <w:ind w:left="2880" w:hanging="360"/>
      </w:pPr>
      <w:rPr>
        <w:rFonts w:hint="default"/>
        <w:i w:val="0"/>
        <w:iCs/>
      </w:rPr>
    </w:lvl>
    <w:lvl w:ilvl="1" w:tplc="5CDE4C58">
      <w:start w:val="1"/>
      <w:numFmt w:val="decimal"/>
      <w:lvlText w:val="(%2)"/>
      <w:lvlJc w:val="left"/>
      <w:pPr>
        <w:ind w:left="3615" w:hanging="375"/>
      </w:pPr>
      <w:rPr>
        <w:rFonts w:hint="default"/>
        <w:b w:val="0"/>
      </w:r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22" w15:restartNumberingAfterBreak="0">
    <w:nsid w:val="27F17147"/>
    <w:multiLevelType w:val="multilevel"/>
    <w:tmpl w:val="CD22388C"/>
    <w:lvl w:ilvl="0">
      <w:start w:val="1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3" w15:restartNumberingAfterBreak="0">
    <w:nsid w:val="2E5D65B4"/>
    <w:multiLevelType w:val="multilevel"/>
    <w:tmpl w:val="CD44605A"/>
    <w:lvl w:ilvl="0">
      <w:start w:val="5"/>
      <w:numFmt w:val="decimal"/>
      <w:lvlText w:val="%1"/>
      <w:lvlJc w:val="left"/>
      <w:pPr>
        <w:ind w:left="525" w:hanging="525"/>
      </w:pPr>
      <w:rPr>
        <w:rFonts w:hint="default"/>
      </w:rPr>
    </w:lvl>
    <w:lvl w:ilvl="1">
      <w:start w:val="9"/>
      <w:numFmt w:val="decimal"/>
      <w:lvlText w:val="%1.%2"/>
      <w:lvlJc w:val="left"/>
      <w:pPr>
        <w:ind w:left="787" w:hanging="525"/>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3896" w:hanging="1800"/>
      </w:pPr>
      <w:rPr>
        <w:rFonts w:hint="default"/>
      </w:rPr>
    </w:lvl>
  </w:abstractNum>
  <w:abstractNum w:abstractNumId="24" w15:restartNumberingAfterBreak="0">
    <w:nsid w:val="2EFA6FCB"/>
    <w:multiLevelType w:val="multilevel"/>
    <w:tmpl w:val="1786E48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2F174B2D"/>
    <w:multiLevelType w:val="multilevel"/>
    <w:tmpl w:val="634851BC"/>
    <w:lvl w:ilvl="0">
      <w:start w:val="5"/>
      <w:numFmt w:val="decimal"/>
      <w:lvlText w:val="%1"/>
      <w:lvlJc w:val="left"/>
      <w:pPr>
        <w:ind w:left="525" w:hanging="525"/>
      </w:pPr>
      <w:rPr>
        <w:rFonts w:hint="default"/>
      </w:rPr>
    </w:lvl>
    <w:lvl w:ilvl="1">
      <w:start w:val="8"/>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FF86E50"/>
    <w:multiLevelType w:val="hybridMultilevel"/>
    <w:tmpl w:val="86249C2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31053E67"/>
    <w:multiLevelType w:val="multilevel"/>
    <w:tmpl w:val="6084FDE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8" w15:restartNumberingAfterBreak="0">
    <w:nsid w:val="353F6955"/>
    <w:multiLevelType w:val="multilevel"/>
    <w:tmpl w:val="52C22D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36A22693"/>
    <w:multiLevelType w:val="multilevel"/>
    <w:tmpl w:val="0E4AAECC"/>
    <w:lvl w:ilvl="0">
      <w:start w:val="7"/>
      <w:numFmt w:val="decimal"/>
      <w:lvlText w:val="%1"/>
      <w:lvlJc w:val="left"/>
      <w:pPr>
        <w:ind w:left="525" w:hanging="525"/>
      </w:pPr>
      <w:rPr>
        <w:rFonts w:hint="default"/>
        <w:b/>
      </w:rPr>
    </w:lvl>
    <w:lvl w:ilvl="1">
      <w:start w:val="2"/>
      <w:numFmt w:val="decimal"/>
      <w:lvlText w:val="%1.%2"/>
      <w:lvlJc w:val="left"/>
      <w:pPr>
        <w:ind w:left="1245" w:hanging="525"/>
      </w:pPr>
      <w:rPr>
        <w:rFonts w:hint="default"/>
        <w:b/>
      </w:rPr>
    </w:lvl>
    <w:lvl w:ilvl="2">
      <w:start w:val="4"/>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374E6160"/>
    <w:multiLevelType w:val="multilevel"/>
    <w:tmpl w:val="EE12DBD2"/>
    <w:lvl w:ilvl="0">
      <w:start w:val="4"/>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2"/>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31" w15:restartNumberingAfterBreak="0">
    <w:nsid w:val="3C4308CB"/>
    <w:multiLevelType w:val="hybridMultilevel"/>
    <w:tmpl w:val="FAB6A60A"/>
    <w:lvl w:ilvl="0" w:tplc="0BDE934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15:restartNumberingAfterBreak="0">
    <w:nsid w:val="3D9C413C"/>
    <w:multiLevelType w:val="hybridMultilevel"/>
    <w:tmpl w:val="AECE9C82"/>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41CE48F9"/>
    <w:multiLevelType w:val="hybridMultilevel"/>
    <w:tmpl w:val="A8BE1CA4"/>
    <w:lvl w:ilvl="0" w:tplc="3EC0C7B2">
      <w:start w:val="1"/>
      <w:numFmt w:val="lowerRoman"/>
      <w:lvlText w:val="%1."/>
      <w:lvlJc w:val="left"/>
      <w:pPr>
        <w:ind w:left="2880" w:hanging="720"/>
      </w:pPr>
      <w:rPr>
        <w:rFonts w:eastAsiaTheme="minorHAnsi" w:hint="default"/>
      </w:r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34" w15:restartNumberingAfterBreak="0">
    <w:nsid w:val="420C0281"/>
    <w:multiLevelType w:val="multilevel"/>
    <w:tmpl w:val="822EC31C"/>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2E630C9"/>
    <w:multiLevelType w:val="multilevel"/>
    <w:tmpl w:val="844496BE"/>
    <w:lvl w:ilvl="0">
      <w:start w:val="11"/>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6" w15:restartNumberingAfterBreak="0">
    <w:nsid w:val="430D15B1"/>
    <w:multiLevelType w:val="multilevel"/>
    <w:tmpl w:val="F284599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4AF3DDD"/>
    <w:multiLevelType w:val="multilevel"/>
    <w:tmpl w:val="E788DE0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4654393F"/>
    <w:multiLevelType w:val="hybridMultilevel"/>
    <w:tmpl w:val="24066B58"/>
    <w:lvl w:ilvl="0" w:tplc="B220280E">
      <w:start w:val="1"/>
      <w:numFmt w:val="upperLetter"/>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9" w15:restartNumberingAfterBreak="0">
    <w:nsid w:val="46735CCB"/>
    <w:multiLevelType w:val="multilevel"/>
    <w:tmpl w:val="1F96164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47BC4130"/>
    <w:multiLevelType w:val="hybridMultilevel"/>
    <w:tmpl w:val="9C4C913A"/>
    <w:lvl w:ilvl="0" w:tplc="0BDE934C">
      <w:start w:val="1"/>
      <w:numFmt w:val="lowerLetter"/>
      <w:lvlText w:val="(%1)"/>
      <w:lvlJc w:val="left"/>
      <w:pPr>
        <w:ind w:left="3240" w:hanging="360"/>
      </w:pPr>
      <w:rPr>
        <w:rFonts w:hint="default"/>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41" w15:restartNumberingAfterBreak="0">
    <w:nsid w:val="4C6160F9"/>
    <w:multiLevelType w:val="multilevel"/>
    <w:tmpl w:val="E34203C2"/>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2" w15:restartNumberingAfterBreak="0">
    <w:nsid w:val="518222B7"/>
    <w:multiLevelType w:val="multilevel"/>
    <w:tmpl w:val="0122C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198023E"/>
    <w:multiLevelType w:val="hybridMultilevel"/>
    <w:tmpl w:val="692678B2"/>
    <w:lvl w:ilvl="0" w:tplc="0BDE934C">
      <w:start w:val="1"/>
      <w:numFmt w:val="lowerLetter"/>
      <w:lvlText w:val="(%1)"/>
      <w:lvlJc w:val="left"/>
      <w:pPr>
        <w:ind w:left="2340" w:hanging="360"/>
      </w:pPr>
      <w:rPr>
        <w:rFonts w:hint="default"/>
      </w:rPr>
    </w:lvl>
    <w:lvl w:ilvl="1" w:tplc="34090019" w:tentative="1">
      <w:start w:val="1"/>
      <w:numFmt w:val="lowerLetter"/>
      <w:lvlText w:val="%2."/>
      <w:lvlJc w:val="left"/>
      <w:pPr>
        <w:ind w:left="3060" w:hanging="360"/>
      </w:pPr>
    </w:lvl>
    <w:lvl w:ilvl="2" w:tplc="3409001B" w:tentative="1">
      <w:start w:val="1"/>
      <w:numFmt w:val="lowerRoman"/>
      <w:lvlText w:val="%3."/>
      <w:lvlJc w:val="right"/>
      <w:pPr>
        <w:ind w:left="3780" w:hanging="180"/>
      </w:pPr>
    </w:lvl>
    <w:lvl w:ilvl="3" w:tplc="3409000F" w:tentative="1">
      <w:start w:val="1"/>
      <w:numFmt w:val="decimal"/>
      <w:lvlText w:val="%4."/>
      <w:lvlJc w:val="left"/>
      <w:pPr>
        <w:ind w:left="4500" w:hanging="360"/>
      </w:pPr>
    </w:lvl>
    <w:lvl w:ilvl="4" w:tplc="34090019" w:tentative="1">
      <w:start w:val="1"/>
      <w:numFmt w:val="lowerLetter"/>
      <w:lvlText w:val="%5."/>
      <w:lvlJc w:val="left"/>
      <w:pPr>
        <w:ind w:left="5220" w:hanging="360"/>
      </w:pPr>
    </w:lvl>
    <w:lvl w:ilvl="5" w:tplc="3409001B" w:tentative="1">
      <w:start w:val="1"/>
      <w:numFmt w:val="lowerRoman"/>
      <w:lvlText w:val="%6."/>
      <w:lvlJc w:val="right"/>
      <w:pPr>
        <w:ind w:left="5940" w:hanging="180"/>
      </w:pPr>
    </w:lvl>
    <w:lvl w:ilvl="6" w:tplc="3409000F" w:tentative="1">
      <w:start w:val="1"/>
      <w:numFmt w:val="decimal"/>
      <w:lvlText w:val="%7."/>
      <w:lvlJc w:val="left"/>
      <w:pPr>
        <w:ind w:left="6660" w:hanging="360"/>
      </w:pPr>
    </w:lvl>
    <w:lvl w:ilvl="7" w:tplc="34090019" w:tentative="1">
      <w:start w:val="1"/>
      <w:numFmt w:val="lowerLetter"/>
      <w:lvlText w:val="%8."/>
      <w:lvlJc w:val="left"/>
      <w:pPr>
        <w:ind w:left="7380" w:hanging="360"/>
      </w:pPr>
    </w:lvl>
    <w:lvl w:ilvl="8" w:tplc="3409001B" w:tentative="1">
      <w:start w:val="1"/>
      <w:numFmt w:val="lowerRoman"/>
      <w:lvlText w:val="%9."/>
      <w:lvlJc w:val="right"/>
      <w:pPr>
        <w:ind w:left="8100" w:hanging="180"/>
      </w:pPr>
    </w:lvl>
  </w:abstractNum>
  <w:abstractNum w:abstractNumId="44" w15:restartNumberingAfterBreak="0">
    <w:nsid w:val="55403115"/>
    <w:multiLevelType w:val="multilevel"/>
    <w:tmpl w:val="1B8E86E4"/>
    <w:lvl w:ilvl="0">
      <w:start w:val="13"/>
      <w:numFmt w:val="decimal"/>
      <w:lvlText w:val="%1"/>
      <w:lvlJc w:val="left"/>
      <w:pPr>
        <w:ind w:left="465" w:hanging="465"/>
      </w:pPr>
      <w:rPr>
        <w:rFonts w:hint="default"/>
        <w:b/>
      </w:rPr>
    </w:lvl>
    <w:lvl w:ilvl="1">
      <w:start w:val="1"/>
      <w:numFmt w:val="decimal"/>
      <w:lvlText w:val="%1.%2"/>
      <w:lvlJc w:val="left"/>
      <w:pPr>
        <w:ind w:left="930" w:hanging="465"/>
      </w:pPr>
      <w:rPr>
        <w:rFonts w:hint="default"/>
        <w:b w:val="0"/>
        <w:bCs/>
      </w:rPr>
    </w:lvl>
    <w:lvl w:ilvl="2">
      <w:start w:val="1"/>
      <w:numFmt w:val="decimal"/>
      <w:lvlText w:val="%1.%2.%3"/>
      <w:lvlJc w:val="left"/>
      <w:pPr>
        <w:ind w:left="1650" w:hanging="720"/>
      </w:pPr>
      <w:rPr>
        <w:rFonts w:hint="default"/>
        <w:b w:val="0"/>
        <w:bCs/>
      </w:rPr>
    </w:lvl>
    <w:lvl w:ilvl="3">
      <w:start w:val="1"/>
      <w:numFmt w:val="decimal"/>
      <w:lvlText w:val="%1.%2.%3.%4"/>
      <w:lvlJc w:val="left"/>
      <w:pPr>
        <w:ind w:left="2475" w:hanging="108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abstractNum w:abstractNumId="45" w15:restartNumberingAfterBreak="0">
    <w:nsid w:val="597367CE"/>
    <w:multiLevelType w:val="hybridMultilevel"/>
    <w:tmpl w:val="6F3CEE0E"/>
    <w:lvl w:ilvl="0" w:tplc="0BDE934C">
      <w:start w:val="1"/>
      <w:numFmt w:val="lowerLetter"/>
      <w:lvlText w:val="(%1)"/>
      <w:lvlJc w:val="left"/>
      <w:pPr>
        <w:ind w:left="0" w:hanging="720"/>
      </w:pPr>
      <w:rPr>
        <w:rFonts w:hint="default"/>
      </w:rPr>
    </w:lvl>
    <w:lvl w:ilvl="1" w:tplc="139245AC">
      <w:start w:val="1"/>
      <w:numFmt w:val="lowerLetter"/>
      <w:lvlText w:val="(%2)"/>
      <w:lvlJc w:val="left"/>
      <w:pPr>
        <w:ind w:left="360" w:hanging="360"/>
      </w:pPr>
      <w:rPr>
        <w:rFonts w:hint="default"/>
      </w:rPr>
    </w:lvl>
    <w:lvl w:ilvl="2" w:tplc="3409001B" w:tentative="1">
      <w:start w:val="1"/>
      <w:numFmt w:val="lowerRoman"/>
      <w:lvlText w:val="%3."/>
      <w:lvlJc w:val="right"/>
      <w:pPr>
        <w:ind w:left="1080" w:hanging="180"/>
      </w:pPr>
    </w:lvl>
    <w:lvl w:ilvl="3" w:tplc="3409000F" w:tentative="1">
      <w:start w:val="1"/>
      <w:numFmt w:val="decimal"/>
      <w:lvlText w:val="%4."/>
      <w:lvlJc w:val="left"/>
      <w:pPr>
        <w:ind w:left="1800" w:hanging="360"/>
      </w:pPr>
    </w:lvl>
    <w:lvl w:ilvl="4" w:tplc="34090019" w:tentative="1">
      <w:start w:val="1"/>
      <w:numFmt w:val="lowerLetter"/>
      <w:lvlText w:val="%5."/>
      <w:lvlJc w:val="left"/>
      <w:pPr>
        <w:ind w:left="2520" w:hanging="360"/>
      </w:pPr>
    </w:lvl>
    <w:lvl w:ilvl="5" w:tplc="3409001B" w:tentative="1">
      <w:start w:val="1"/>
      <w:numFmt w:val="lowerRoman"/>
      <w:lvlText w:val="%6."/>
      <w:lvlJc w:val="right"/>
      <w:pPr>
        <w:ind w:left="3240" w:hanging="180"/>
      </w:pPr>
    </w:lvl>
    <w:lvl w:ilvl="6" w:tplc="3409000F" w:tentative="1">
      <w:start w:val="1"/>
      <w:numFmt w:val="decimal"/>
      <w:lvlText w:val="%7."/>
      <w:lvlJc w:val="left"/>
      <w:pPr>
        <w:ind w:left="3960" w:hanging="360"/>
      </w:pPr>
    </w:lvl>
    <w:lvl w:ilvl="7" w:tplc="34090019" w:tentative="1">
      <w:start w:val="1"/>
      <w:numFmt w:val="lowerLetter"/>
      <w:lvlText w:val="%8."/>
      <w:lvlJc w:val="left"/>
      <w:pPr>
        <w:ind w:left="4680" w:hanging="360"/>
      </w:pPr>
    </w:lvl>
    <w:lvl w:ilvl="8" w:tplc="3409001B" w:tentative="1">
      <w:start w:val="1"/>
      <w:numFmt w:val="lowerRoman"/>
      <w:lvlText w:val="%9."/>
      <w:lvlJc w:val="right"/>
      <w:pPr>
        <w:ind w:left="5400" w:hanging="180"/>
      </w:pPr>
    </w:lvl>
  </w:abstractNum>
  <w:abstractNum w:abstractNumId="46" w15:restartNumberingAfterBreak="0">
    <w:nsid w:val="5B5465C8"/>
    <w:multiLevelType w:val="hybridMultilevel"/>
    <w:tmpl w:val="117AF7B8"/>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7" w15:restartNumberingAfterBreak="0">
    <w:nsid w:val="5C6B4A96"/>
    <w:multiLevelType w:val="hybridMultilevel"/>
    <w:tmpl w:val="46F8FF20"/>
    <w:lvl w:ilvl="0" w:tplc="2AFC7390">
      <w:start w:val="1"/>
      <w:numFmt w:val="decimal"/>
      <w:lvlText w:val="%1)"/>
      <w:lvlJc w:val="left"/>
      <w:pPr>
        <w:ind w:left="2880" w:hanging="360"/>
      </w:pPr>
      <w:rPr>
        <w:b w:val="0"/>
        <w:bCs w:val="0"/>
      </w:rPr>
    </w:lvl>
    <w:lvl w:ilvl="1" w:tplc="34090019" w:tentative="1">
      <w:start w:val="1"/>
      <w:numFmt w:val="lowerLetter"/>
      <w:lvlText w:val="%2."/>
      <w:lvlJc w:val="left"/>
      <w:pPr>
        <w:ind w:left="3600" w:hanging="360"/>
      </w:p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48" w15:restartNumberingAfterBreak="0">
    <w:nsid w:val="5DB8204F"/>
    <w:multiLevelType w:val="multilevel"/>
    <w:tmpl w:val="76C27256"/>
    <w:lvl w:ilvl="0">
      <w:start w:val="10"/>
      <w:numFmt w:val="decimal"/>
      <w:lvlText w:val="%1"/>
      <w:lvlJc w:val="left"/>
      <w:pPr>
        <w:ind w:left="465" w:hanging="465"/>
      </w:pPr>
      <w:rPr>
        <w:rFonts w:hint="default"/>
        <w:b/>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9" w15:restartNumberingAfterBreak="0">
    <w:nsid w:val="60A31E1A"/>
    <w:multiLevelType w:val="multilevel"/>
    <w:tmpl w:val="10388214"/>
    <w:lvl w:ilvl="0">
      <w:start w:val="4"/>
      <w:numFmt w:val="decimal"/>
      <w:lvlText w:val="%1."/>
      <w:lvlJc w:val="left"/>
      <w:pPr>
        <w:ind w:left="585" w:hanging="58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0" w15:restartNumberingAfterBreak="0">
    <w:nsid w:val="61956D60"/>
    <w:multiLevelType w:val="hybridMultilevel"/>
    <w:tmpl w:val="F410D290"/>
    <w:lvl w:ilvl="0" w:tplc="3409001B">
      <w:start w:val="1"/>
      <w:numFmt w:val="lowerRoman"/>
      <w:lvlText w:val="%1."/>
      <w:lvlJc w:val="right"/>
      <w:pPr>
        <w:ind w:left="3060" w:hanging="360"/>
      </w:pPr>
    </w:lvl>
    <w:lvl w:ilvl="1" w:tplc="34090019" w:tentative="1">
      <w:start w:val="1"/>
      <w:numFmt w:val="lowerLetter"/>
      <w:lvlText w:val="%2."/>
      <w:lvlJc w:val="left"/>
      <w:pPr>
        <w:ind w:left="3780" w:hanging="360"/>
      </w:pPr>
    </w:lvl>
    <w:lvl w:ilvl="2" w:tplc="3409001B" w:tentative="1">
      <w:start w:val="1"/>
      <w:numFmt w:val="lowerRoman"/>
      <w:lvlText w:val="%3."/>
      <w:lvlJc w:val="right"/>
      <w:pPr>
        <w:ind w:left="4500" w:hanging="180"/>
      </w:pPr>
    </w:lvl>
    <w:lvl w:ilvl="3" w:tplc="3409000F" w:tentative="1">
      <w:start w:val="1"/>
      <w:numFmt w:val="decimal"/>
      <w:lvlText w:val="%4."/>
      <w:lvlJc w:val="left"/>
      <w:pPr>
        <w:ind w:left="5220" w:hanging="360"/>
      </w:pPr>
    </w:lvl>
    <w:lvl w:ilvl="4" w:tplc="34090019" w:tentative="1">
      <w:start w:val="1"/>
      <w:numFmt w:val="lowerLetter"/>
      <w:lvlText w:val="%5."/>
      <w:lvlJc w:val="left"/>
      <w:pPr>
        <w:ind w:left="5940" w:hanging="360"/>
      </w:pPr>
    </w:lvl>
    <w:lvl w:ilvl="5" w:tplc="3409001B" w:tentative="1">
      <w:start w:val="1"/>
      <w:numFmt w:val="lowerRoman"/>
      <w:lvlText w:val="%6."/>
      <w:lvlJc w:val="right"/>
      <w:pPr>
        <w:ind w:left="6660" w:hanging="180"/>
      </w:pPr>
    </w:lvl>
    <w:lvl w:ilvl="6" w:tplc="3409000F" w:tentative="1">
      <w:start w:val="1"/>
      <w:numFmt w:val="decimal"/>
      <w:lvlText w:val="%7."/>
      <w:lvlJc w:val="left"/>
      <w:pPr>
        <w:ind w:left="7380" w:hanging="360"/>
      </w:pPr>
    </w:lvl>
    <w:lvl w:ilvl="7" w:tplc="34090019" w:tentative="1">
      <w:start w:val="1"/>
      <w:numFmt w:val="lowerLetter"/>
      <w:lvlText w:val="%8."/>
      <w:lvlJc w:val="left"/>
      <w:pPr>
        <w:ind w:left="8100" w:hanging="360"/>
      </w:pPr>
    </w:lvl>
    <w:lvl w:ilvl="8" w:tplc="3409001B" w:tentative="1">
      <w:start w:val="1"/>
      <w:numFmt w:val="lowerRoman"/>
      <w:lvlText w:val="%9."/>
      <w:lvlJc w:val="right"/>
      <w:pPr>
        <w:ind w:left="8820" w:hanging="180"/>
      </w:pPr>
    </w:lvl>
  </w:abstractNum>
  <w:abstractNum w:abstractNumId="51" w15:restartNumberingAfterBreak="0">
    <w:nsid w:val="62DF3F50"/>
    <w:multiLevelType w:val="multilevel"/>
    <w:tmpl w:val="14D46860"/>
    <w:lvl w:ilvl="0">
      <w:start w:val="4"/>
      <w:numFmt w:val="decimal"/>
      <w:lvlText w:val="%1"/>
      <w:lvlJc w:val="left"/>
      <w:pPr>
        <w:ind w:left="720" w:hanging="720"/>
      </w:pPr>
      <w:rPr>
        <w:rFonts w:hint="default"/>
      </w:rPr>
    </w:lvl>
    <w:lvl w:ilvl="1">
      <w:start w:val="1"/>
      <w:numFmt w:val="decimal"/>
      <w:lvlText w:val="%1.%2."/>
      <w:lvlJc w:val="left"/>
      <w:pPr>
        <w:ind w:left="720" w:hanging="720"/>
      </w:pPr>
      <w:rPr>
        <w:rFonts w:ascii="Arial" w:eastAsia="Arial" w:hAnsi="Arial" w:cs="Arial" w:hint="default"/>
        <w:b w:val="0"/>
        <w:bCs w:val="0"/>
        <w:i w:val="0"/>
        <w:iCs w:val="0"/>
        <w:spacing w:val="-2"/>
        <w:w w:val="99"/>
        <w:sz w:val="24"/>
        <w:szCs w:val="24"/>
      </w:rPr>
    </w:lvl>
    <w:lvl w:ilvl="2">
      <w:start w:val="1"/>
      <w:numFmt w:val="decimal"/>
      <w:lvlText w:val="%1.%2.%3."/>
      <w:lvlJc w:val="left"/>
      <w:pPr>
        <w:ind w:left="1533" w:hanging="813"/>
      </w:pPr>
      <w:rPr>
        <w:rFonts w:ascii="Arial" w:eastAsia="Arial" w:hAnsi="Arial" w:cs="Arial" w:hint="default"/>
        <w:b w:val="0"/>
        <w:bCs w:val="0"/>
        <w:i w:val="0"/>
        <w:iCs w:val="0"/>
        <w:spacing w:val="-2"/>
        <w:w w:val="99"/>
        <w:sz w:val="24"/>
        <w:szCs w:val="24"/>
      </w:rPr>
    </w:lvl>
    <w:lvl w:ilvl="3">
      <w:start w:val="1"/>
      <w:numFmt w:val="lowerLetter"/>
      <w:lvlText w:val="(%4)"/>
      <w:lvlJc w:val="left"/>
      <w:pPr>
        <w:ind w:left="1985" w:hanging="544"/>
      </w:pPr>
      <w:rPr>
        <w:rFonts w:ascii="Arial" w:eastAsia="Arial" w:hAnsi="Arial" w:cs="Arial" w:hint="default"/>
        <w:b w:val="0"/>
        <w:bCs w:val="0"/>
        <w:i w:val="0"/>
        <w:iCs w:val="0"/>
        <w:spacing w:val="-2"/>
        <w:w w:val="99"/>
        <w:sz w:val="24"/>
        <w:szCs w:val="24"/>
      </w:rPr>
    </w:lvl>
    <w:lvl w:ilvl="4">
      <w:numFmt w:val="bullet"/>
      <w:lvlText w:val="•"/>
      <w:lvlJc w:val="left"/>
      <w:pPr>
        <w:ind w:left="3772" w:hanging="544"/>
      </w:pPr>
      <w:rPr>
        <w:rFonts w:hint="default"/>
      </w:rPr>
    </w:lvl>
    <w:lvl w:ilvl="5">
      <w:numFmt w:val="bullet"/>
      <w:lvlText w:val="•"/>
      <w:lvlJc w:val="left"/>
      <w:pPr>
        <w:ind w:left="4668" w:hanging="544"/>
      </w:pPr>
      <w:rPr>
        <w:rFonts w:hint="default"/>
      </w:rPr>
    </w:lvl>
    <w:lvl w:ilvl="6">
      <w:numFmt w:val="bullet"/>
      <w:lvlText w:val="•"/>
      <w:lvlJc w:val="left"/>
      <w:pPr>
        <w:ind w:left="5564" w:hanging="544"/>
      </w:pPr>
      <w:rPr>
        <w:rFonts w:hint="default"/>
      </w:rPr>
    </w:lvl>
    <w:lvl w:ilvl="7">
      <w:numFmt w:val="bullet"/>
      <w:lvlText w:val="•"/>
      <w:lvlJc w:val="left"/>
      <w:pPr>
        <w:ind w:left="6460" w:hanging="544"/>
      </w:pPr>
      <w:rPr>
        <w:rFonts w:hint="default"/>
      </w:rPr>
    </w:lvl>
    <w:lvl w:ilvl="8">
      <w:numFmt w:val="bullet"/>
      <w:lvlText w:val="•"/>
      <w:lvlJc w:val="left"/>
      <w:pPr>
        <w:ind w:left="7356" w:hanging="544"/>
      </w:pPr>
      <w:rPr>
        <w:rFonts w:hint="default"/>
      </w:rPr>
    </w:lvl>
  </w:abstractNum>
  <w:abstractNum w:abstractNumId="52" w15:restartNumberingAfterBreak="0">
    <w:nsid w:val="6381114A"/>
    <w:multiLevelType w:val="multilevel"/>
    <w:tmpl w:val="B582CA6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67F446BD"/>
    <w:multiLevelType w:val="multilevel"/>
    <w:tmpl w:val="467081E4"/>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bCs w:val="0"/>
        <w:strike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val="0"/>
        <w:bCs/>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4" w15:restartNumberingAfterBreak="0">
    <w:nsid w:val="6B7667C9"/>
    <w:multiLevelType w:val="hybridMultilevel"/>
    <w:tmpl w:val="B5041054"/>
    <w:lvl w:ilvl="0" w:tplc="0BDE934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5" w15:restartNumberingAfterBreak="0">
    <w:nsid w:val="6CDC7F02"/>
    <w:multiLevelType w:val="multilevel"/>
    <w:tmpl w:val="E2126A14"/>
    <w:lvl w:ilvl="0">
      <w:start w:val="5"/>
      <w:numFmt w:val="decimal"/>
      <w:lvlText w:val="%1"/>
      <w:lvlJc w:val="left"/>
      <w:pPr>
        <w:ind w:left="360" w:hanging="360"/>
      </w:pPr>
      <w:rPr>
        <w:rFonts w:hint="default"/>
        <w:b/>
      </w:rPr>
    </w:lvl>
    <w:lvl w:ilvl="1">
      <w:start w:val="1"/>
      <w:numFmt w:val="decimal"/>
      <w:lvlText w:val="%1.%2"/>
      <w:lvlJc w:val="left"/>
      <w:pPr>
        <w:ind w:left="885" w:hanging="360"/>
      </w:pPr>
      <w:rPr>
        <w:rFonts w:hint="default"/>
        <w:b/>
        <w:bCs w:val="0"/>
      </w:rPr>
    </w:lvl>
    <w:lvl w:ilvl="2">
      <w:start w:val="1"/>
      <w:numFmt w:val="decimal"/>
      <w:lvlText w:val="%1.%2.%3"/>
      <w:lvlJc w:val="left"/>
      <w:pPr>
        <w:ind w:left="1770" w:hanging="720"/>
      </w:pPr>
      <w:rPr>
        <w:rFonts w:hint="default"/>
        <w:b w:val="0"/>
        <w:bCs/>
      </w:rPr>
    </w:lvl>
    <w:lvl w:ilvl="3">
      <w:start w:val="1"/>
      <w:numFmt w:val="decimal"/>
      <w:lvlText w:val="%1.%2.%3.%4"/>
      <w:lvlJc w:val="left"/>
      <w:pPr>
        <w:ind w:left="2655" w:hanging="1080"/>
      </w:pPr>
      <w:rPr>
        <w:rFonts w:hint="default"/>
        <w:b w:val="0"/>
        <w:bCs/>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56" w15:restartNumberingAfterBreak="0">
    <w:nsid w:val="6DA8049C"/>
    <w:multiLevelType w:val="multilevel"/>
    <w:tmpl w:val="EFBA578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57" w15:restartNumberingAfterBreak="0">
    <w:nsid w:val="6ECA1DAA"/>
    <w:multiLevelType w:val="multilevel"/>
    <w:tmpl w:val="900EF0CA"/>
    <w:lvl w:ilvl="0">
      <w:start w:val="4"/>
      <w:numFmt w:val="decimal"/>
      <w:lvlText w:val="%1"/>
      <w:lvlJc w:val="left"/>
      <w:pPr>
        <w:ind w:left="525" w:hanging="525"/>
      </w:pPr>
      <w:rPr>
        <w:rFonts w:hint="default"/>
      </w:rPr>
    </w:lvl>
    <w:lvl w:ilvl="1">
      <w:start w:val="3"/>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6F446556"/>
    <w:multiLevelType w:val="multilevel"/>
    <w:tmpl w:val="B582CA6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F6C479B"/>
    <w:multiLevelType w:val="hybridMultilevel"/>
    <w:tmpl w:val="A28C42E6"/>
    <w:lvl w:ilvl="0" w:tplc="0BDE934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0" w15:restartNumberingAfterBreak="0">
    <w:nsid w:val="725F0458"/>
    <w:multiLevelType w:val="multilevel"/>
    <w:tmpl w:val="449686B4"/>
    <w:lvl w:ilvl="0">
      <w:start w:val="15"/>
      <w:numFmt w:val="decimal"/>
      <w:lvlText w:val="%1."/>
      <w:lvlJc w:val="left"/>
      <w:pPr>
        <w:ind w:left="780" w:hanging="360"/>
      </w:pPr>
      <w:rPr>
        <w:rFonts w:hint="default"/>
        <w:b/>
      </w:rPr>
    </w:lvl>
    <w:lvl w:ilvl="1">
      <w:start w:val="1"/>
      <w:numFmt w:val="decimal"/>
      <w:isLgl/>
      <w:lvlText w:val="%1.%2"/>
      <w:lvlJc w:val="left"/>
      <w:pPr>
        <w:ind w:left="1185" w:hanging="465"/>
      </w:pPr>
      <w:rPr>
        <w:rFonts w:hint="default"/>
        <w:b/>
      </w:rPr>
    </w:lvl>
    <w:lvl w:ilvl="2">
      <w:start w:val="1"/>
      <w:numFmt w:val="decimal"/>
      <w:isLgl/>
      <w:lvlText w:val="%1.%2.%3"/>
      <w:lvlJc w:val="left"/>
      <w:pPr>
        <w:ind w:left="1740" w:hanging="720"/>
      </w:pPr>
      <w:rPr>
        <w:rFonts w:hint="default"/>
        <w:b w:val="0"/>
        <w:bCs/>
        <w:i w:val="0"/>
        <w:iCs/>
      </w:rPr>
    </w:lvl>
    <w:lvl w:ilvl="3">
      <w:start w:val="1"/>
      <w:numFmt w:val="decimal"/>
      <w:isLgl/>
      <w:lvlText w:val="%1.%2.%3.%4"/>
      <w:lvlJc w:val="left"/>
      <w:pPr>
        <w:ind w:left="2400" w:hanging="108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3360" w:hanging="1440"/>
      </w:pPr>
      <w:rPr>
        <w:rFonts w:hint="default"/>
        <w:b/>
      </w:rPr>
    </w:lvl>
    <w:lvl w:ilvl="6">
      <w:start w:val="1"/>
      <w:numFmt w:val="decimal"/>
      <w:isLgl/>
      <w:lvlText w:val="%1.%2.%3.%4.%5.%6.%7"/>
      <w:lvlJc w:val="left"/>
      <w:pPr>
        <w:ind w:left="366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620" w:hanging="1800"/>
      </w:pPr>
      <w:rPr>
        <w:rFonts w:hint="default"/>
        <w:b/>
      </w:rPr>
    </w:lvl>
  </w:abstractNum>
  <w:abstractNum w:abstractNumId="61" w15:restartNumberingAfterBreak="0">
    <w:nsid w:val="73206F1C"/>
    <w:multiLevelType w:val="hybridMultilevel"/>
    <w:tmpl w:val="03BE0DF6"/>
    <w:lvl w:ilvl="0" w:tplc="F49462AA">
      <w:start w:val="1"/>
      <w:numFmt w:val="lowerLetter"/>
      <w:lvlText w:val="(%1)"/>
      <w:lvlJc w:val="left"/>
      <w:pPr>
        <w:ind w:left="2160" w:hanging="360"/>
      </w:pPr>
      <w:rPr>
        <w:rFonts w:hint="default"/>
        <w:b w:val="0"/>
        <w:bCs w:val="0"/>
      </w:rPr>
    </w:lvl>
    <w:lvl w:ilvl="1" w:tplc="34090019" w:tentative="1">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2" w15:restartNumberingAfterBreak="0">
    <w:nsid w:val="74470919"/>
    <w:multiLevelType w:val="hybridMultilevel"/>
    <w:tmpl w:val="7F8CC4EA"/>
    <w:lvl w:ilvl="0" w:tplc="0BDE934C">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3" w15:restartNumberingAfterBreak="0">
    <w:nsid w:val="7463443F"/>
    <w:multiLevelType w:val="hybridMultilevel"/>
    <w:tmpl w:val="DAC43EE8"/>
    <w:lvl w:ilvl="0" w:tplc="0BDE934C">
      <w:start w:val="1"/>
      <w:numFmt w:val="lowerLetter"/>
      <w:lvlText w:val="(%1)"/>
      <w:lvlJc w:val="left"/>
      <w:pPr>
        <w:ind w:left="3240" w:hanging="360"/>
      </w:pPr>
      <w:rPr>
        <w:rFonts w:hint="default"/>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64" w15:restartNumberingAfterBreak="0">
    <w:nsid w:val="76C070B3"/>
    <w:multiLevelType w:val="multilevel"/>
    <w:tmpl w:val="C1DA5D8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5" w15:restartNumberingAfterBreak="0">
    <w:nsid w:val="76D05B5C"/>
    <w:multiLevelType w:val="multilevel"/>
    <w:tmpl w:val="34C0092A"/>
    <w:lvl w:ilvl="0">
      <w:start w:val="5"/>
      <w:numFmt w:val="decimal"/>
      <w:lvlText w:val="%1"/>
      <w:lvlJc w:val="left"/>
      <w:pPr>
        <w:ind w:left="525" w:hanging="525"/>
      </w:pPr>
      <w:rPr>
        <w:rFonts w:hint="default"/>
      </w:rPr>
    </w:lvl>
    <w:lvl w:ilvl="1">
      <w:start w:val="6"/>
      <w:numFmt w:val="decimal"/>
      <w:lvlText w:val="%1.%2"/>
      <w:lvlJc w:val="left"/>
      <w:pPr>
        <w:ind w:left="1230" w:hanging="52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6" w15:restartNumberingAfterBreak="0">
    <w:nsid w:val="77055BDB"/>
    <w:multiLevelType w:val="hybridMultilevel"/>
    <w:tmpl w:val="9C7856F4"/>
    <w:lvl w:ilvl="0" w:tplc="0BDE934C">
      <w:start w:val="1"/>
      <w:numFmt w:val="lowerLetter"/>
      <w:lvlText w:val="(%1)"/>
      <w:lvlJc w:val="left"/>
      <w:pPr>
        <w:ind w:left="2880" w:hanging="360"/>
      </w:pPr>
      <w:rPr>
        <w:rFonts w:hint="default"/>
      </w:rPr>
    </w:lvl>
    <w:lvl w:ilvl="1" w:tplc="0BDE934C">
      <w:start w:val="1"/>
      <w:numFmt w:val="lowerLetter"/>
      <w:lvlText w:val="(%2)"/>
      <w:lvlJc w:val="left"/>
      <w:pPr>
        <w:ind w:left="-360" w:hanging="360"/>
      </w:pPr>
      <w:rPr>
        <w:rFonts w:hint="default"/>
      </w:rPr>
    </w:lvl>
    <w:lvl w:ilvl="2" w:tplc="3409001B" w:tentative="1">
      <w:start w:val="1"/>
      <w:numFmt w:val="lowerRoman"/>
      <w:lvlText w:val="%3."/>
      <w:lvlJc w:val="right"/>
      <w:pPr>
        <w:ind w:left="4320" w:hanging="180"/>
      </w:pPr>
    </w:lvl>
    <w:lvl w:ilvl="3" w:tplc="3409000F" w:tentative="1">
      <w:start w:val="1"/>
      <w:numFmt w:val="decimal"/>
      <w:lvlText w:val="%4."/>
      <w:lvlJc w:val="left"/>
      <w:pPr>
        <w:ind w:left="5040" w:hanging="360"/>
      </w:pPr>
    </w:lvl>
    <w:lvl w:ilvl="4" w:tplc="34090019" w:tentative="1">
      <w:start w:val="1"/>
      <w:numFmt w:val="lowerLetter"/>
      <w:lvlText w:val="%5."/>
      <w:lvlJc w:val="left"/>
      <w:pPr>
        <w:ind w:left="5760" w:hanging="360"/>
      </w:pPr>
    </w:lvl>
    <w:lvl w:ilvl="5" w:tplc="3409001B" w:tentative="1">
      <w:start w:val="1"/>
      <w:numFmt w:val="lowerRoman"/>
      <w:lvlText w:val="%6."/>
      <w:lvlJc w:val="right"/>
      <w:pPr>
        <w:ind w:left="6480" w:hanging="180"/>
      </w:pPr>
    </w:lvl>
    <w:lvl w:ilvl="6" w:tplc="3409000F" w:tentative="1">
      <w:start w:val="1"/>
      <w:numFmt w:val="decimal"/>
      <w:lvlText w:val="%7."/>
      <w:lvlJc w:val="left"/>
      <w:pPr>
        <w:ind w:left="7200" w:hanging="360"/>
      </w:pPr>
    </w:lvl>
    <w:lvl w:ilvl="7" w:tplc="34090019" w:tentative="1">
      <w:start w:val="1"/>
      <w:numFmt w:val="lowerLetter"/>
      <w:lvlText w:val="%8."/>
      <w:lvlJc w:val="left"/>
      <w:pPr>
        <w:ind w:left="7920" w:hanging="360"/>
      </w:pPr>
    </w:lvl>
    <w:lvl w:ilvl="8" w:tplc="3409001B" w:tentative="1">
      <w:start w:val="1"/>
      <w:numFmt w:val="lowerRoman"/>
      <w:lvlText w:val="%9."/>
      <w:lvlJc w:val="right"/>
      <w:pPr>
        <w:ind w:left="8640" w:hanging="180"/>
      </w:pPr>
    </w:lvl>
  </w:abstractNum>
  <w:abstractNum w:abstractNumId="67" w15:restartNumberingAfterBreak="0">
    <w:nsid w:val="77E96639"/>
    <w:multiLevelType w:val="multilevel"/>
    <w:tmpl w:val="BFACDBBA"/>
    <w:lvl w:ilvl="0">
      <w:start w:val="10"/>
      <w:numFmt w:val="decimal"/>
      <w:lvlText w:val="%1"/>
      <w:lvlJc w:val="left"/>
      <w:pPr>
        <w:ind w:left="465" w:hanging="465"/>
      </w:pPr>
      <w:rPr>
        <w:rFonts w:hint="default"/>
        <w:b/>
      </w:rPr>
    </w:lvl>
    <w:lvl w:ilvl="1">
      <w:start w:val="1"/>
      <w:numFmt w:val="decimal"/>
      <w:lvlText w:val="%1.%2"/>
      <w:lvlJc w:val="left"/>
      <w:pPr>
        <w:ind w:left="930" w:hanging="465"/>
      </w:pPr>
      <w:rPr>
        <w:rFonts w:hint="default"/>
        <w:b/>
      </w:rPr>
    </w:lvl>
    <w:lvl w:ilvl="2">
      <w:start w:val="1"/>
      <w:numFmt w:val="decimal"/>
      <w:lvlText w:val="%1.%2.%3"/>
      <w:lvlJc w:val="left"/>
      <w:pPr>
        <w:ind w:left="1650" w:hanging="720"/>
      </w:pPr>
      <w:rPr>
        <w:rFonts w:hint="default"/>
        <w:b/>
      </w:rPr>
    </w:lvl>
    <w:lvl w:ilvl="3">
      <w:start w:val="1"/>
      <w:numFmt w:val="decimal"/>
      <w:lvlText w:val="%1.%2.%3.%4"/>
      <w:lvlJc w:val="left"/>
      <w:pPr>
        <w:ind w:left="2475" w:hanging="1080"/>
      </w:pPr>
      <w:rPr>
        <w:rFonts w:hint="default"/>
        <w:b/>
      </w:rPr>
    </w:lvl>
    <w:lvl w:ilvl="4">
      <w:start w:val="1"/>
      <w:numFmt w:val="decimal"/>
      <w:lvlText w:val="%1.%2.%3.%4.%5"/>
      <w:lvlJc w:val="left"/>
      <w:pPr>
        <w:ind w:left="2940" w:hanging="1080"/>
      </w:pPr>
      <w:rPr>
        <w:rFonts w:hint="default"/>
        <w:b/>
      </w:rPr>
    </w:lvl>
    <w:lvl w:ilvl="5">
      <w:start w:val="1"/>
      <w:numFmt w:val="decimal"/>
      <w:lvlText w:val="%1.%2.%3.%4.%5.%6"/>
      <w:lvlJc w:val="left"/>
      <w:pPr>
        <w:ind w:left="3765" w:hanging="1440"/>
      </w:pPr>
      <w:rPr>
        <w:rFonts w:hint="default"/>
        <w:b/>
      </w:rPr>
    </w:lvl>
    <w:lvl w:ilvl="6">
      <w:start w:val="1"/>
      <w:numFmt w:val="decimal"/>
      <w:lvlText w:val="%1.%2.%3.%4.%5.%6.%7"/>
      <w:lvlJc w:val="left"/>
      <w:pPr>
        <w:ind w:left="4230" w:hanging="1440"/>
      </w:pPr>
      <w:rPr>
        <w:rFonts w:hint="default"/>
        <w:b/>
      </w:rPr>
    </w:lvl>
    <w:lvl w:ilvl="7">
      <w:start w:val="1"/>
      <w:numFmt w:val="decimal"/>
      <w:lvlText w:val="%1.%2.%3.%4.%5.%6.%7.%8"/>
      <w:lvlJc w:val="left"/>
      <w:pPr>
        <w:ind w:left="5055" w:hanging="1800"/>
      </w:pPr>
      <w:rPr>
        <w:rFonts w:hint="default"/>
        <w:b/>
      </w:rPr>
    </w:lvl>
    <w:lvl w:ilvl="8">
      <w:start w:val="1"/>
      <w:numFmt w:val="decimal"/>
      <w:lvlText w:val="%1.%2.%3.%4.%5.%6.%7.%8.%9"/>
      <w:lvlJc w:val="left"/>
      <w:pPr>
        <w:ind w:left="5520" w:hanging="1800"/>
      </w:pPr>
      <w:rPr>
        <w:rFonts w:hint="default"/>
        <w:b/>
      </w:rPr>
    </w:lvl>
  </w:abstractNum>
  <w:abstractNum w:abstractNumId="68" w15:restartNumberingAfterBreak="0">
    <w:nsid w:val="78510B7E"/>
    <w:multiLevelType w:val="multilevel"/>
    <w:tmpl w:val="2C1442A6"/>
    <w:lvl w:ilvl="0">
      <w:start w:val="4"/>
      <w:numFmt w:val="decimal"/>
      <w:lvlText w:val="%1"/>
      <w:lvlJc w:val="left"/>
      <w:pPr>
        <w:ind w:left="525" w:hanging="525"/>
      </w:pPr>
      <w:rPr>
        <w:rFonts w:hint="default"/>
      </w:rPr>
    </w:lvl>
    <w:lvl w:ilvl="1">
      <w:start w:val="2"/>
      <w:numFmt w:val="decimal"/>
      <w:lvlText w:val="%1.%2"/>
      <w:lvlJc w:val="left"/>
      <w:pPr>
        <w:ind w:left="877" w:hanging="52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69" w15:restartNumberingAfterBreak="0">
    <w:nsid w:val="7A3774D0"/>
    <w:multiLevelType w:val="multilevel"/>
    <w:tmpl w:val="620E2A0E"/>
    <w:lvl w:ilvl="0">
      <w:start w:val="4"/>
      <w:numFmt w:val="decimal"/>
      <w:lvlText w:val="%1"/>
      <w:lvlJc w:val="left"/>
      <w:pPr>
        <w:ind w:left="525" w:hanging="525"/>
      </w:pPr>
      <w:rPr>
        <w:rFonts w:hint="default"/>
      </w:rPr>
    </w:lvl>
    <w:lvl w:ilvl="1">
      <w:start w:val="3"/>
      <w:numFmt w:val="decimal"/>
      <w:lvlText w:val="%1.%2"/>
      <w:lvlJc w:val="left"/>
      <w:pPr>
        <w:ind w:left="1605" w:hanging="52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7D5F0AF8"/>
    <w:multiLevelType w:val="multilevel"/>
    <w:tmpl w:val="64B605C0"/>
    <w:lvl w:ilvl="0">
      <w:start w:val="5"/>
      <w:numFmt w:val="decimal"/>
      <w:lvlText w:val="%1"/>
      <w:lvlJc w:val="left"/>
      <w:pPr>
        <w:ind w:left="360" w:hanging="360"/>
      </w:pPr>
      <w:rPr>
        <w:rFonts w:hint="default"/>
        <w:b/>
      </w:rPr>
    </w:lvl>
    <w:lvl w:ilvl="1">
      <w:start w:val="1"/>
      <w:numFmt w:val="decimal"/>
      <w:lvlText w:val="%1.%2"/>
      <w:lvlJc w:val="left"/>
      <w:pPr>
        <w:ind w:left="885" w:hanging="360"/>
      </w:pPr>
      <w:rPr>
        <w:rFonts w:hint="default"/>
        <w:b/>
      </w:rPr>
    </w:lvl>
    <w:lvl w:ilvl="2">
      <w:start w:val="1"/>
      <w:numFmt w:val="decimal"/>
      <w:lvlText w:val="%3."/>
      <w:lvlJc w:val="left"/>
      <w:pPr>
        <w:ind w:left="1410" w:hanging="360"/>
      </w:p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71" w15:restartNumberingAfterBreak="0">
    <w:nsid w:val="7F372566"/>
    <w:multiLevelType w:val="multilevel"/>
    <w:tmpl w:val="E788DE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967315301">
    <w:abstractNumId w:val="51"/>
  </w:num>
  <w:num w:numId="2" w16cid:durableId="1836527798">
    <w:abstractNumId w:val="45"/>
  </w:num>
  <w:num w:numId="3" w16cid:durableId="414011454">
    <w:abstractNumId w:val="28"/>
  </w:num>
  <w:num w:numId="4" w16cid:durableId="675621947">
    <w:abstractNumId w:val="12"/>
  </w:num>
  <w:num w:numId="5" w16cid:durableId="2034963357">
    <w:abstractNumId w:val="71"/>
  </w:num>
  <w:num w:numId="6" w16cid:durableId="24793963">
    <w:abstractNumId w:val="37"/>
  </w:num>
  <w:num w:numId="7" w16cid:durableId="1902328622">
    <w:abstractNumId w:val="3"/>
  </w:num>
  <w:num w:numId="8" w16cid:durableId="747307402">
    <w:abstractNumId w:val="27"/>
  </w:num>
  <w:num w:numId="9" w16cid:durableId="1920210196">
    <w:abstractNumId w:val="24"/>
  </w:num>
  <w:num w:numId="10" w16cid:durableId="1507868007">
    <w:abstractNumId w:val="49"/>
  </w:num>
  <w:num w:numId="11" w16cid:durableId="1772817831">
    <w:abstractNumId w:val="69"/>
  </w:num>
  <w:num w:numId="12" w16cid:durableId="1123957301">
    <w:abstractNumId w:val="70"/>
  </w:num>
  <w:num w:numId="13" w16cid:durableId="1983192289">
    <w:abstractNumId w:val="65"/>
  </w:num>
  <w:num w:numId="14" w16cid:durableId="1407190569">
    <w:abstractNumId w:val="18"/>
  </w:num>
  <w:num w:numId="15" w16cid:durableId="2125270448">
    <w:abstractNumId w:val="40"/>
  </w:num>
  <w:num w:numId="16" w16cid:durableId="859392015">
    <w:abstractNumId w:val="6"/>
  </w:num>
  <w:num w:numId="17" w16cid:durableId="982003344">
    <w:abstractNumId w:val="63"/>
  </w:num>
  <w:num w:numId="18" w16cid:durableId="1711958158">
    <w:abstractNumId w:val="10"/>
  </w:num>
  <w:num w:numId="19" w16cid:durableId="1916012923">
    <w:abstractNumId w:val="23"/>
  </w:num>
  <w:num w:numId="20" w16cid:durableId="694770075">
    <w:abstractNumId w:val="43"/>
  </w:num>
  <w:num w:numId="21" w16cid:durableId="665862934">
    <w:abstractNumId w:val="50"/>
  </w:num>
  <w:num w:numId="22" w16cid:durableId="1124540860">
    <w:abstractNumId w:val="54"/>
  </w:num>
  <w:num w:numId="23" w16cid:durableId="1501769429">
    <w:abstractNumId w:val="39"/>
  </w:num>
  <w:num w:numId="24" w16cid:durableId="71244854">
    <w:abstractNumId w:val="53"/>
  </w:num>
  <w:num w:numId="25" w16cid:durableId="612857935">
    <w:abstractNumId w:val="29"/>
  </w:num>
  <w:num w:numId="26" w16cid:durableId="301545573">
    <w:abstractNumId w:val="58"/>
  </w:num>
  <w:num w:numId="27" w16cid:durableId="1946040336">
    <w:abstractNumId w:val="52"/>
  </w:num>
  <w:num w:numId="28" w16cid:durableId="2146507201">
    <w:abstractNumId w:val="67"/>
  </w:num>
  <w:num w:numId="29" w16cid:durableId="1132408146">
    <w:abstractNumId w:val="59"/>
  </w:num>
  <w:num w:numId="30" w16cid:durableId="1251234830">
    <w:abstractNumId w:val="4"/>
  </w:num>
  <w:num w:numId="31" w16cid:durableId="1045445688">
    <w:abstractNumId w:val="1"/>
  </w:num>
  <w:num w:numId="32" w16cid:durableId="1185051003">
    <w:abstractNumId w:val="42"/>
  </w:num>
  <w:num w:numId="33" w16cid:durableId="110636250">
    <w:abstractNumId w:val="2"/>
  </w:num>
  <w:num w:numId="34" w16cid:durableId="642006140">
    <w:abstractNumId w:val="15"/>
  </w:num>
  <w:num w:numId="35" w16cid:durableId="158424509">
    <w:abstractNumId w:val="9"/>
  </w:num>
  <w:num w:numId="36" w16cid:durableId="1232739094">
    <w:abstractNumId w:val="41"/>
  </w:num>
  <w:num w:numId="37" w16cid:durableId="1114055055">
    <w:abstractNumId w:val="30"/>
  </w:num>
  <w:num w:numId="38" w16cid:durableId="76051645">
    <w:abstractNumId w:val="57"/>
  </w:num>
  <w:num w:numId="39" w16cid:durableId="1641643548">
    <w:abstractNumId w:val="5"/>
  </w:num>
  <w:num w:numId="40" w16cid:durableId="1913537697">
    <w:abstractNumId w:val="13"/>
  </w:num>
  <w:num w:numId="41" w16cid:durableId="2102797014">
    <w:abstractNumId w:val="33"/>
  </w:num>
  <w:num w:numId="42" w16cid:durableId="200943625">
    <w:abstractNumId w:val="25"/>
  </w:num>
  <w:num w:numId="43" w16cid:durableId="1120150802">
    <w:abstractNumId w:val="17"/>
  </w:num>
  <w:num w:numId="44" w16cid:durableId="1186138092">
    <w:abstractNumId w:val="11"/>
  </w:num>
  <w:num w:numId="45" w16cid:durableId="374041569">
    <w:abstractNumId w:val="62"/>
  </w:num>
  <w:num w:numId="46" w16cid:durableId="787049833">
    <w:abstractNumId w:val="16"/>
  </w:num>
  <w:num w:numId="47" w16cid:durableId="1139616187">
    <w:abstractNumId w:val="64"/>
  </w:num>
  <w:num w:numId="48" w16cid:durableId="1126967010">
    <w:abstractNumId w:val="34"/>
  </w:num>
  <w:num w:numId="49" w16cid:durableId="1336297989">
    <w:abstractNumId w:val="14"/>
  </w:num>
  <w:num w:numId="50" w16cid:durableId="1649745583">
    <w:abstractNumId w:val="48"/>
  </w:num>
  <w:num w:numId="51" w16cid:durableId="575554182">
    <w:abstractNumId w:val="20"/>
  </w:num>
  <w:num w:numId="52" w16cid:durableId="733747178">
    <w:abstractNumId w:val="56"/>
  </w:num>
  <w:num w:numId="53" w16cid:durableId="1069961713">
    <w:abstractNumId w:val="8"/>
  </w:num>
  <w:num w:numId="54" w16cid:durableId="504131108">
    <w:abstractNumId w:val="68"/>
  </w:num>
  <w:num w:numId="55" w16cid:durableId="185944197">
    <w:abstractNumId w:val="55"/>
  </w:num>
  <w:num w:numId="56" w16cid:durableId="1642612736">
    <w:abstractNumId w:val="19"/>
  </w:num>
  <w:num w:numId="57" w16cid:durableId="1372999567">
    <w:abstractNumId w:val="36"/>
  </w:num>
  <w:num w:numId="58" w16cid:durableId="955404849">
    <w:abstractNumId w:val="0"/>
  </w:num>
  <w:num w:numId="59" w16cid:durableId="1349209540">
    <w:abstractNumId w:val="35"/>
  </w:num>
  <w:num w:numId="60" w16cid:durableId="617684100">
    <w:abstractNumId w:val="44"/>
  </w:num>
  <w:num w:numId="61" w16cid:durableId="1250388942">
    <w:abstractNumId w:val="22"/>
  </w:num>
  <w:num w:numId="62" w16cid:durableId="1893155846">
    <w:abstractNumId w:val="60"/>
  </w:num>
  <w:num w:numId="63" w16cid:durableId="798378486">
    <w:abstractNumId w:val="21"/>
  </w:num>
  <w:num w:numId="64" w16cid:durableId="978454799">
    <w:abstractNumId w:val="7"/>
  </w:num>
  <w:num w:numId="65" w16cid:durableId="1308437039">
    <w:abstractNumId w:val="66"/>
  </w:num>
  <w:num w:numId="66" w16cid:durableId="546768928">
    <w:abstractNumId w:val="61"/>
  </w:num>
  <w:num w:numId="67" w16cid:durableId="421295153">
    <w:abstractNumId w:val="47"/>
  </w:num>
  <w:num w:numId="68" w16cid:durableId="1411342340">
    <w:abstractNumId w:val="31"/>
  </w:num>
  <w:num w:numId="69" w16cid:durableId="1760442323">
    <w:abstractNumId w:val="38"/>
  </w:num>
  <w:num w:numId="70" w16cid:durableId="1000042978">
    <w:abstractNumId w:val="32"/>
  </w:num>
  <w:num w:numId="71" w16cid:durableId="940454236">
    <w:abstractNumId w:val="46"/>
  </w:num>
  <w:num w:numId="72" w16cid:durableId="1558468181">
    <w:abstractNumId w:val="26"/>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 Margarette B. Rivera">
    <w15:presenceInfo w15:providerId="AD" w15:userId="S::mrivera@doe.gov.ph::a99ce8a6-bd08-47e4-a55d-697139fa5a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53"/>
    <w:rsid w:val="00001D52"/>
    <w:rsid w:val="00002D4F"/>
    <w:rsid w:val="000060C4"/>
    <w:rsid w:val="00011CDA"/>
    <w:rsid w:val="00013F3C"/>
    <w:rsid w:val="00017313"/>
    <w:rsid w:val="00017F46"/>
    <w:rsid w:val="0002675A"/>
    <w:rsid w:val="00027E91"/>
    <w:rsid w:val="00030E66"/>
    <w:rsid w:val="00034209"/>
    <w:rsid w:val="00035A0C"/>
    <w:rsid w:val="00037211"/>
    <w:rsid w:val="00041F3D"/>
    <w:rsid w:val="00042208"/>
    <w:rsid w:val="00044971"/>
    <w:rsid w:val="00045DB2"/>
    <w:rsid w:val="00052E1D"/>
    <w:rsid w:val="00054764"/>
    <w:rsid w:val="00063AA4"/>
    <w:rsid w:val="00064D08"/>
    <w:rsid w:val="00067E39"/>
    <w:rsid w:val="000744B1"/>
    <w:rsid w:val="00076E87"/>
    <w:rsid w:val="000779ED"/>
    <w:rsid w:val="00081DDD"/>
    <w:rsid w:val="000843E6"/>
    <w:rsid w:val="000862F9"/>
    <w:rsid w:val="00094040"/>
    <w:rsid w:val="000A05BC"/>
    <w:rsid w:val="000A0B98"/>
    <w:rsid w:val="000A153F"/>
    <w:rsid w:val="000B0E71"/>
    <w:rsid w:val="000B58C9"/>
    <w:rsid w:val="000B7230"/>
    <w:rsid w:val="000C19F9"/>
    <w:rsid w:val="000C6F7E"/>
    <w:rsid w:val="000D0005"/>
    <w:rsid w:val="000D0FCB"/>
    <w:rsid w:val="000D7216"/>
    <w:rsid w:val="000D7AA4"/>
    <w:rsid w:val="000E0A67"/>
    <w:rsid w:val="000E6E49"/>
    <w:rsid w:val="000F6943"/>
    <w:rsid w:val="00103654"/>
    <w:rsid w:val="00106F31"/>
    <w:rsid w:val="00111D3E"/>
    <w:rsid w:val="00113A17"/>
    <w:rsid w:val="00115B5A"/>
    <w:rsid w:val="001249A9"/>
    <w:rsid w:val="00135153"/>
    <w:rsid w:val="00140E49"/>
    <w:rsid w:val="001419E2"/>
    <w:rsid w:val="0014530C"/>
    <w:rsid w:val="00152D9D"/>
    <w:rsid w:val="0015414B"/>
    <w:rsid w:val="00154FB5"/>
    <w:rsid w:val="0015506A"/>
    <w:rsid w:val="001557B1"/>
    <w:rsid w:val="0015714E"/>
    <w:rsid w:val="00163798"/>
    <w:rsid w:val="00166C70"/>
    <w:rsid w:val="00167364"/>
    <w:rsid w:val="00177834"/>
    <w:rsid w:val="00177E6D"/>
    <w:rsid w:val="001819D4"/>
    <w:rsid w:val="00181D50"/>
    <w:rsid w:val="0019178F"/>
    <w:rsid w:val="00195759"/>
    <w:rsid w:val="00196077"/>
    <w:rsid w:val="001A1ACB"/>
    <w:rsid w:val="001A2678"/>
    <w:rsid w:val="001A32B3"/>
    <w:rsid w:val="001B0D83"/>
    <w:rsid w:val="001B6973"/>
    <w:rsid w:val="001B699B"/>
    <w:rsid w:val="001C33BE"/>
    <w:rsid w:val="001D494A"/>
    <w:rsid w:val="001E5F70"/>
    <w:rsid w:val="001F3261"/>
    <w:rsid w:val="001F534F"/>
    <w:rsid w:val="0020459A"/>
    <w:rsid w:val="0020790F"/>
    <w:rsid w:val="00212165"/>
    <w:rsid w:val="00213AC4"/>
    <w:rsid w:val="00216814"/>
    <w:rsid w:val="00220015"/>
    <w:rsid w:val="00220C35"/>
    <w:rsid w:val="002215F2"/>
    <w:rsid w:val="002223EF"/>
    <w:rsid w:val="002324B5"/>
    <w:rsid w:val="002326ED"/>
    <w:rsid w:val="002349A3"/>
    <w:rsid w:val="00234BCC"/>
    <w:rsid w:val="00235958"/>
    <w:rsid w:val="0024071F"/>
    <w:rsid w:val="00241AE0"/>
    <w:rsid w:val="0024595A"/>
    <w:rsid w:val="00251860"/>
    <w:rsid w:val="0026499C"/>
    <w:rsid w:val="00270F6F"/>
    <w:rsid w:val="00271C49"/>
    <w:rsid w:val="00271F98"/>
    <w:rsid w:val="00275141"/>
    <w:rsid w:val="00277213"/>
    <w:rsid w:val="00277F6A"/>
    <w:rsid w:val="002940FA"/>
    <w:rsid w:val="002946AA"/>
    <w:rsid w:val="002962E4"/>
    <w:rsid w:val="0029788D"/>
    <w:rsid w:val="002A2AF2"/>
    <w:rsid w:val="002A7055"/>
    <w:rsid w:val="002B1440"/>
    <w:rsid w:val="002B15EB"/>
    <w:rsid w:val="002B15FF"/>
    <w:rsid w:val="002B2888"/>
    <w:rsid w:val="002B2F1E"/>
    <w:rsid w:val="002B4B4E"/>
    <w:rsid w:val="002B5DD6"/>
    <w:rsid w:val="002C104A"/>
    <w:rsid w:val="002C4ADA"/>
    <w:rsid w:val="002C71D7"/>
    <w:rsid w:val="002D0D55"/>
    <w:rsid w:val="002D38FB"/>
    <w:rsid w:val="002D7617"/>
    <w:rsid w:val="002E10F8"/>
    <w:rsid w:val="002E7645"/>
    <w:rsid w:val="002F599F"/>
    <w:rsid w:val="00307B9A"/>
    <w:rsid w:val="00312CE8"/>
    <w:rsid w:val="003150BC"/>
    <w:rsid w:val="003201C0"/>
    <w:rsid w:val="003208DA"/>
    <w:rsid w:val="0032415A"/>
    <w:rsid w:val="00330D4D"/>
    <w:rsid w:val="0033529A"/>
    <w:rsid w:val="003369A9"/>
    <w:rsid w:val="003369D5"/>
    <w:rsid w:val="00347A6B"/>
    <w:rsid w:val="00356467"/>
    <w:rsid w:val="003579D3"/>
    <w:rsid w:val="0036057F"/>
    <w:rsid w:val="00361216"/>
    <w:rsid w:val="00362086"/>
    <w:rsid w:val="0036240D"/>
    <w:rsid w:val="00366BA4"/>
    <w:rsid w:val="00371880"/>
    <w:rsid w:val="00374387"/>
    <w:rsid w:val="00375617"/>
    <w:rsid w:val="0037786D"/>
    <w:rsid w:val="00381942"/>
    <w:rsid w:val="00383415"/>
    <w:rsid w:val="003858C7"/>
    <w:rsid w:val="00386424"/>
    <w:rsid w:val="0039420D"/>
    <w:rsid w:val="003A0122"/>
    <w:rsid w:val="003A048E"/>
    <w:rsid w:val="003A5ADD"/>
    <w:rsid w:val="003C49F0"/>
    <w:rsid w:val="003C583F"/>
    <w:rsid w:val="003D313C"/>
    <w:rsid w:val="003D3401"/>
    <w:rsid w:val="003D7C27"/>
    <w:rsid w:val="003E289A"/>
    <w:rsid w:val="003E2DB7"/>
    <w:rsid w:val="003F1C08"/>
    <w:rsid w:val="003F2120"/>
    <w:rsid w:val="003F5C38"/>
    <w:rsid w:val="004074BE"/>
    <w:rsid w:val="004164C4"/>
    <w:rsid w:val="004232FC"/>
    <w:rsid w:val="004336D8"/>
    <w:rsid w:val="00435283"/>
    <w:rsid w:val="004366F7"/>
    <w:rsid w:val="00442C9E"/>
    <w:rsid w:val="00443DAA"/>
    <w:rsid w:val="004461DF"/>
    <w:rsid w:val="004467ED"/>
    <w:rsid w:val="00454C64"/>
    <w:rsid w:val="00456E52"/>
    <w:rsid w:val="0046063C"/>
    <w:rsid w:val="00466A89"/>
    <w:rsid w:val="00467307"/>
    <w:rsid w:val="00467881"/>
    <w:rsid w:val="0047186C"/>
    <w:rsid w:val="00471D2D"/>
    <w:rsid w:val="004779C3"/>
    <w:rsid w:val="00477F7B"/>
    <w:rsid w:val="00480F98"/>
    <w:rsid w:val="00485157"/>
    <w:rsid w:val="0048763F"/>
    <w:rsid w:val="00496BF9"/>
    <w:rsid w:val="004A53BD"/>
    <w:rsid w:val="004B18E8"/>
    <w:rsid w:val="004B2DAD"/>
    <w:rsid w:val="004B7770"/>
    <w:rsid w:val="004C4A7A"/>
    <w:rsid w:val="004C573F"/>
    <w:rsid w:val="004E018B"/>
    <w:rsid w:val="004F3C5A"/>
    <w:rsid w:val="004F4F81"/>
    <w:rsid w:val="00505862"/>
    <w:rsid w:val="0050615B"/>
    <w:rsid w:val="0051262E"/>
    <w:rsid w:val="00514C00"/>
    <w:rsid w:val="00516E49"/>
    <w:rsid w:val="00534A32"/>
    <w:rsid w:val="005430C3"/>
    <w:rsid w:val="00550796"/>
    <w:rsid w:val="005539AF"/>
    <w:rsid w:val="00562C17"/>
    <w:rsid w:val="005639D9"/>
    <w:rsid w:val="0058250D"/>
    <w:rsid w:val="00591B36"/>
    <w:rsid w:val="00591F76"/>
    <w:rsid w:val="005A09EA"/>
    <w:rsid w:val="005A53A8"/>
    <w:rsid w:val="005D0219"/>
    <w:rsid w:val="005D5B88"/>
    <w:rsid w:val="005E5593"/>
    <w:rsid w:val="005F14B7"/>
    <w:rsid w:val="005F5A7F"/>
    <w:rsid w:val="0060018E"/>
    <w:rsid w:val="00602329"/>
    <w:rsid w:val="006115CE"/>
    <w:rsid w:val="00613CCB"/>
    <w:rsid w:val="00613F15"/>
    <w:rsid w:val="00623C74"/>
    <w:rsid w:val="00632016"/>
    <w:rsid w:val="006342E2"/>
    <w:rsid w:val="00634482"/>
    <w:rsid w:val="0064160B"/>
    <w:rsid w:val="0064299E"/>
    <w:rsid w:val="00642E92"/>
    <w:rsid w:val="006432FA"/>
    <w:rsid w:val="006546EF"/>
    <w:rsid w:val="00654DDE"/>
    <w:rsid w:val="006640B5"/>
    <w:rsid w:val="00664101"/>
    <w:rsid w:val="0066434C"/>
    <w:rsid w:val="0066670B"/>
    <w:rsid w:val="00675CD4"/>
    <w:rsid w:val="00675E5C"/>
    <w:rsid w:val="0068253B"/>
    <w:rsid w:val="006870C3"/>
    <w:rsid w:val="00690E85"/>
    <w:rsid w:val="006A0CED"/>
    <w:rsid w:val="006A1E11"/>
    <w:rsid w:val="006A2151"/>
    <w:rsid w:val="006A4F30"/>
    <w:rsid w:val="006B2C54"/>
    <w:rsid w:val="006B3009"/>
    <w:rsid w:val="006B77D2"/>
    <w:rsid w:val="006C2650"/>
    <w:rsid w:val="006C4239"/>
    <w:rsid w:val="006C64B1"/>
    <w:rsid w:val="006D19FF"/>
    <w:rsid w:val="006D5812"/>
    <w:rsid w:val="006E6163"/>
    <w:rsid w:val="006E65F0"/>
    <w:rsid w:val="006F08A2"/>
    <w:rsid w:val="00704BC2"/>
    <w:rsid w:val="00706828"/>
    <w:rsid w:val="00714218"/>
    <w:rsid w:val="00720F9F"/>
    <w:rsid w:val="007215E2"/>
    <w:rsid w:val="00726D58"/>
    <w:rsid w:val="007310B5"/>
    <w:rsid w:val="007315EE"/>
    <w:rsid w:val="0073530F"/>
    <w:rsid w:val="007479B3"/>
    <w:rsid w:val="007639A7"/>
    <w:rsid w:val="00764C49"/>
    <w:rsid w:val="00770F0B"/>
    <w:rsid w:val="00771798"/>
    <w:rsid w:val="00774913"/>
    <w:rsid w:val="007757D9"/>
    <w:rsid w:val="00776ED9"/>
    <w:rsid w:val="007806CC"/>
    <w:rsid w:val="007825E7"/>
    <w:rsid w:val="007849D9"/>
    <w:rsid w:val="00784E62"/>
    <w:rsid w:val="00785011"/>
    <w:rsid w:val="00785C2E"/>
    <w:rsid w:val="00793D72"/>
    <w:rsid w:val="00796757"/>
    <w:rsid w:val="007A0AFC"/>
    <w:rsid w:val="007A53DE"/>
    <w:rsid w:val="007B18C2"/>
    <w:rsid w:val="007B70EF"/>
    <w:rsid w:val="007B70F1"/>
    <w:rsid w:val="007D4591"/>
    <w:rsid w:val="007E2E23"/>
    <w:rsid w:val="007E5F73"/>
    <w:rsid w:val="007F1254"/>
    <w:rsid w:val="007F2EB3"/>
    <w:rsid w:val="007F7A28"/>
    <w:rsid w:val="0080173D"/>
    <w:rsid w:val="0081128C"/>
    <w:rsid w:val="0081264F"/>
    <w:rsid w:val="00816AF5"/>
    <w:rsid w:val="00820848"/>
    <w:rsid w:val="008343B2"/>
    <w:rsid w:val="0084225C"/>
    <w:rsid w:val="00845960"/>
    <w:rsid w:val="00851468"/>
    <w:rsid w:val="008514E3"/>
    <w:rsid w:val="008762DB"/>
    <w:rsid w:val="00880E1E"/>
    <w:rsid w:val="00882AC5"/>
    <w:rsid w:val="008848A0"/>
    <w:rsid w:val="00884A2D"/>
    <w:rsid w:val="00885F9D"/>
    <w:rsid w:val="00887CC3"/>
    <w:rsid w:val="008929B3"/>
    <w:rsid w:val="008931A3"/>
    <w:rsid w:val="008A000C"/>
    <w:rsid w:val="008A5AA3"/>
    <w:rsid w:val="008A6462"/>
    <w:rsid w:val="008B07B4"/>
    <w:rsid w:val="008B3C7C"/>
    <w:rsid w:val="008E0906"/>
    <w:rsid w:val="008E1263"/>
    <w:rsid w:val="008E1649"/>
    <w:rsid w:val="008E2208"/>
    <w:rsid w:val="008E5AE2"/>
    <w:rsid w:val="008E7569"/>
    <w:rsid w:val="008F517F"/>
    <w:rsid w:val="008F7F18"/>
    <w:rsid w:val="00900AF0"/>
    <w:rsid w:val="009100F3"/>
    <w:rsid w:val="009135A4"/>
    <w:rsid w:val="00913ABC"/>
    <w:rsid w:val="00915579"/>
    <w:rsid w:val="0092271B"/>
    <w:rsid w:val="00941BCC"/>
    <w:rsid w:val="009449A8"/>
    <w:rsid w:val="00945962"/>
    <w:rsid w:val="00952B77"/>
    <w:rsid w:val="00957700"/>
    <w:rsid w:val="00960CEF"/>
    <w:rsid w:val="00960DD0"/>
    <w:rsid w:val="0097050E"/>
    <w:rsid w:val="0097274E"/>
    <w:rsid w:val="00974264"/>
    <w:rsid w:val="00990AF2"/>
    <w:rsid w:val="00991E1A"/>
    <w:rsid w:val="00992A3C"/>
    <w:rsid w:val="00996AAF"/>
    <w:rsid w:val="009A1C8D"/>
    <w:rsid w:val="009A2629"/>
    <w:rsid w:val="009B19DB"/>
    <w:rsid w:val="009B2DBA"/>
    <w:rsid w:val="009B2EE5"/>
    <w:rsid w:val="009B3A36"/>
    <w:rsid w:val="009B6ED7"/>
    <w:rsid w:val="009B7053"/>
    <w:rsid w:val="009C1220"/>
    <w:rsid w:val="009C18B0"/>
    <w:rsid w:val="009C1FB4"/>
    <w:rsid w:val="009C718C"/>
    <w:rsid w:val="009D71B4"/>
    <w:rsid w:val="009E27E6"/>
    <w:rsid w:val="009F2DF6"/>
    <w:rsid w:val="009F3915"/>
    <w:rsid w:val="009F4F53"/>
    <w:rsid w:val="00A039E1"/>
    <w:rsid w:val="00A04682"/>
    <w:rsid w:val="00A04BDC"/>
    <w:rsid w:val="00A11239"/>
    <w:rsid w:val="00A1359C"/>
    <w:rsid w:val="00A13EDD"/>
    <w:rsid w:val="00A27265"/>
    <w:rsid w:val="00A30793"/>
    <w:rsid w:val="00A32D8C"/>
    <w:rsid w:val="00A34226"/>
    <w:rsid w:val="00A3593D"/>
    <w:rsid w:val="00A36F12"/>
    <w:rsid w:val="00A40460"/>
    <w:rsid w:val="00A406DC"/>
    <w:rsid w:val="00A57E17"/>
    <w:rsid w:val="00A60439"/>
    <w:rsid w:val="00A6049F"/>
    <w:rsid w:val="00A64F05"/>
    <w:rsid w:val="00A70C9C"/>
    <w:rsid w:val="00A70ECE"/>
    <w:rsid w:val="00A73F5F"/>
    <w:rsid w:val="00A7487F"/>
    <w:rsid w:val="00A83447"/>
    <w:rsid w:val="00A863E2"/>
    <w:rsid w:val="00A91419"/>
    <w:rsid w:val="00A93B8E"/>
    <w:rsid w:val="00A95AD9"/>
    <w:rsid w:val="00AA661F"/>
    <w:rsid w:val="00AB0CA7"/>
    <w:rsid w:val="00AB236A"/>
    <w:rsid w:val="00AC1710"/>
    <w:rsid w:val="00AC5499"/>
    <w:rsid w:val="00AD60C4"/>
    <w:rsid w:val="00AD6F5B"/>
    <w:rsid w:val="00AE1690"/>
    <w:rsid w:val="00AE1814"/>
    <w:rsid w:val="00AF053A"/>
    <w:rsid w:val="00AF6DFE"/>
    <w:rsid w:val="00B015BD"/>
    <w:rsid w:val="00B07D59"/>
    <w:rsid w:val="00B121D2"/>
    <w:rsid w:val="00B12D8A"/>
    <w:rsid w:val="00B1452E"/>
    <w:rsid w:val="00B1567E"/>
    <w:rsid w:val="00B16189"/>
    <w:rsid w:val="00B16DD4"/>
    <w:rsid w:val="00B20FDF"/>
    <w:rsid w:val="00B2503C"/>
    <w:rsid w:val="00B258D4"/>
    <w:rsid w:val="00B3097A"/>
    <w:rsid w:val="00B37471"/>
    <w:rsid w:val="00B3762E"/>
    <w:rsid w:val="00B43ED5"/>
    <w:rsid w:val="00B52531"/>
    <w:rsid w:val="00B5272E"/>
    <w:rsid w:val="00B538AD"/>
    <w:rsid w:val="00B5518A"/>
    <w:rsid w:val="00B720E5"/>
    <w:rsid w:val="00B737AC"/>
    <w:rsid w:val="00B84600"/>
    <w:rsid w:val="00B860F1"/>
    <w:rsid w:val="00B90FAC"/>
    <w:rsid w:val="00B949C8"/>
    <w:rsid w:val="00BA0580"/>
    <w:rsid w:val="00BA1B58"/>
    <w:rsid w:val="00BA2D23"/>
    <w:rsid w:val="00BB4CA5"/>
    <w:rsid w:val="00BC7C93"/>
    <w:rsid w:val="00BD3444"/>
    <w:rsid w:val="00BE0A15"/>
    <w:rsid w:val="00BE1F89"/>
    <w:rsid w:val="00BE405C"/>
    <w:rsid w:val="00BE5EF2"/>
    <w:rsid w:val="00BE697B"/>
    <w:rsid w:val="00BF1167"/>
    <w:rsid w:val="00BF16C2"/>
    <w:rsid w:val="00BF225B"/>
    <w:rsid w:val="00BF6DAA"/>
    <w:rsid w:val="00BF71DC"/>
    <w:rsid w:val="00BF7E7F"/>
    <w:rsid w:val="00C01546"/>
    <w:rsid w:val="00C11C4E"/>
    <w:rsid w:val="00C31102"/>
    <w:rsid w:val="00C337B4"/>
    <w:rsid w:val="00C37E53"/>
    <w:rsid w:val="00C40DFC"/>
    <w:rsid w:val="00C42EC6"/>
    <w:rsid w:val="00C47D1F"/>
    <w:rsid w:val="00C51E24"/>
    <w:rsid w:val="00C52BA5"/>
    <w:rsid w:val="00C66070"/>
    <w:rsid w:val="00C67551"/>
    <w:rsid w:val="00C80A42"/>
    <w:rsid w:val="00C818D2"/>
    <w:rsid w:val="00C85E7B"/>
    <w:rsid w:val="00C9586C"/>
    <w:rsid w:val="00C959C6"/>
    <w:rsid w:val="00CA1C6A"/>
    <w:rsid w:val="00CA1DFE"/>
    <w:rsid w:val="00CA49B8"/>
    <w:rsid w:val="00CA4F9B"/>
    <w:rsid w:val="00CA6AE3"/>
    <w:rsid w:val="00CB72D2"/>
    <w:rsid w:val="00CD439F"/>
    <w:rsid w:val="00CE1CB7"/>
    <w:rsid w:val="00CF1363"/>
    <w:rsid w:val="00CF3DD0"/>
    <w:rsid w:val="00CF4F19"/>
    <w:rsid w:val="00CF520D"/>
    <w:rsid w:val="00CF7EBD"/>
    <w:rsid w:val="00D010CA"/>
    <w:rsid w:val="00D068D3"/>
    <w:rsid w:val="00D10A1A"/>
    <w:rsid w:val="00D14D72"/>
    <w:rsid w:val="00D171AA"/>
    <w:rsid w:val="00D20768"/>
    <w:rsid w:val="00D21C87"/>
    <w:rsid w:val="00D23590"/>
    <w:rsid w:val="00D23F3A"/>
    <w:rsid w:val="00D326A9"/>
    <w:rsid w:val="00D32725"/>
    <w:rsid w:val="00D35431"/>
    <w:rsid w:val="00D37A05"/>
    <w:rsid w:val="00D46849"/>
    <w:rsid w:val="00D51AE5"/>
    <w:rsid w:val="00D61BCF"/>
    <w:rsid w:val="00D71C2A"/>
    <w:rsid w:val="00D81411"/>
    <w:rsid w:val="00D816B8"/>
    <w:rsid w:val="00D8191E"/>
    <w:rsid w:val="00D84D0E"/>
    <w:rsid w:val="00D86182"/>
    <w:rsid w:val="00D86F1A"/>
    <w:rsid w:val="00D94460"/>
    <w:rsid w:val="00DB2C43"/>
    <w:rsid w:val="00DB49DB"/>
    <w:rsid w:val="00DD0DB0"/>
    <w:rsid w:val="00DD476F"/>
    <w:rsid w:val="00DF0169"/>
    <w:rsid w:val="00DF4DE6"/>
    <w:rsid w:val="00E00959"/>
    <w:rsid w:val="00E02D34"/>
    <w:rsid w:val="00E121BC"/>
    <w:rsid w:val="00E13D08"/>
    <w:rsid w:val="00E14878"/>
    <w:rsid w:val="00E21EF4"/>
    <w:rsid w:val="00E36922"/>
    <w:rsid w:val="00E40713"/>
    <w:rsid w:val="00E45311"/>
    <w:rsid w:val="00E5546A"/>
    <w:rsid w:val="00E55DEF"/>
    <w:rsid w:val="00E564B1"/>
    <w:rsid w:val="00E6697E"/>
    <w:rsid w:val="00E669EF"/>
    <w:rsid w:val="00E71C93"/>
    <w:rsid w:val="00E859BC"/>
    <w:rsid w:val="00E8664C"/>
    <w:rsid w:val="00E90A56"/>
    <w:rsid w:val="00E92C54"/>
    <w:rsid w:val="00EA1044"/>
    <w:rsid w:val="00EA1A80"/>
    <w:rsid w:val="00EB1A88"/>
    <w:rsid w:val="00EB61AD"/>
    <w:rsid w:val="00EC008E"/>
    <w:rsid w:val="00EC296E"/>
    <w:rsid w:val="00ED6A49"/>
    <w:rsid w:val="00EF1EC3"/>
    <w:rsid w:val="00EF725D"/>
    <w:rsid w:val="00F039B9"/>
    <w:rsid w:val="00F10C03"/>
    <w:rsid w:val="00F11312"/>
    <w:rsid w:val="00F16CBC"/>
    <w:rsid w:val="00F26E2D"/>
    <w:rsid w:val="00F32412"/>
    <w:rsid w:val="00F427E5"/>
    <w:rsid w:val="00F60232"/>
    <w:rsid w:val="00F63534"/>
    <w:rsid w:val="00F67207"/>
    <w:rsid w:val="00F7445F"/>
    <w:rsid w:val="00F7470C"/>
    <w:rsid w:val="00F764B1"/>
    <w:rsid w:val="00F81B64"/>
    <w:rsid w:val="00F821F1"/>
    <w:rsid w:val="00F8390E"/>
    <w:rsid w:val="00F91C1A"/>
    <w:rsid w:val="00F96ABC"/>
    <w:rsid w:val="00FA6BF8"/>
    <w:rsid w:val="00FA72B7"/>
    <w:rsid w:val="00FB192E"/>
    <w:rsid w:val="00FB420D"/>
    <w:rsid w:val="00FC0BBC"/>
    <w:rsid w:val="00FC0D1B"/>
    <w:rsid w:val="00FC3A37"/>
    <w:rsid w:val="00FC55E1"/>
    <w:rsid w:val="00FE08A3"/>
    <w:rsid w:val="00FE7955"/>
    <w:rsid w:val="00FE7FBD"/>
    <w:rsid w:val="00FF1F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3C32A"/>
  <w15:chartTrackingRefBased/>
  <w15:docId w15:val="{30F4E529-0E45-435A-BD28-C7BB5DC9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B15EB"/>
    <w:pPr>
      <w:keepNext/>
      <w:keepLines/>
      <w:spacing w:before="40" w:after="0" w:line="276" w:lineRule="auto"/>
      <w:outlineLvl w:val="2"/>
    </w:pPr>
    <w:rPr>
      <w:rFonts w:asciiTheme="majorHAnsi" w:eastAsiaTheme="majorEastAsia" w:hAnsiTheme="majorHAnsi" w:cstheme="majorBidi"/>
      <w:color w:val="1F3763" w:themeColor="accent1" w:themeShade="7F"/>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9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369D5"/>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3369D5"/>
    <w:rPr>
      <w:rFonts w:ascii="Arial" w:eastAsia="Arial" w:hAnsi="Arial" w:cs="Arial"/>
      <w:kern w:val="0"/>
      <w:sz w:val="24"/>
      <w:szCs w:val="24"/>
      <w:lang w:val="en-US"/>
      <w14:ligatures w14:val="none"/>
    </w:rPr>
  </w:style>
  <w:style w:type="paragraph" w:styleId="NoSpacing">
    <w:name w:val="No Spacing"/>
    <w:uiPriority w:val="1"/>
    <w:qFormat/>
    <w:rsid w:val="00F91C1A"/>
    <w:pPr>
      <w:spacing w:after="0" w:line="240" w:lineRule="auto"/>
    </w:pPr>
    <w:rPr>
      <w:rFonts w:ascii="Arial" w:hAnsi="Arial" w:cs="Arial"/>
      <w:kern w:val="0"/>
      <w:sz w:val="24"/>
      <w:lang w:val="en-US"/>
      <w14:ligatures w14:val="none"/>
    </w:rPr>
  </w:style>
  <w:style w:type="paragraph" w:styleId="ListParagraph">
    <w:name w:val="List Paragraph"/>
    <w:basedOn w:val="Normal"/>
    <w:uiPriority w:val="34"/>
    <w:qFormat/>
    <w:rsid w:val="00163798"/>
    <w:pPr>
      <w:spacing w:after="0" w:line="276" w:lineRule="auto"/>
      <w:ind w:left="720"/>
      <w:contextualSpacing/>
    </w:pPr>
    <w:rPr>
      <w:rFonts w:ascii="Arial" w:hAnsi="Arial" w:cs="Arial"/>
      <w:kern w:val="0"/>
      <w:sz w:val="24"/>
      <w:lang w:val="en-US"/>
      <w14:ligatures w14:val="none"/>
    </w:rPr>
  </w:style>
  <w:style w:type="paragraph" w:customStyle="1" w:styleId="TableParagraph">
    <w:name w:val="Table Paragraph"/>
    <w:basedOn w:val="Normal"/>
    <w:uiPriority w:val="1"/>
    <w:qFormat/>
    <w:rsid w:val="00442C9E"/>
    <w:pPr>
      <w:widowControl w:val="0"/>
      <w:autoSpaceDE w:val="0"/>
      <w:autoSpaceDN w:val="0"/>
      <w:spacing w:after="0" w:line="254" w:lineRule="exact"/>
      <w:ind w:left="106"/>
    </w:pPr>
    <w:rPr>
      <w:rFonts w:ascii="Arial" w:eastAsia="Arial" w:hAnsi="Arial" w:cs="Arial"/>
      <w:kern w:val="0"/>
      <w:lang w:val="en-US"/>
      <w14:ligatures w14:val="none"/>
    </w:rPr>
  </w:style>
  <w:style w:type="character" w:styleId="CommentReference">
    <w:name w:val="annotation reference"/>
    <w:basedOn w:val="DefaultParagraphFont"/>
    <w:uiPriority w:val="99"/>
    <w:semiHidden/>
    <w:unhideWhenUsed/>
    <w:rsid w:val="0092271B"/>
    <w:rPr>
      <w:sz w:val="16"/>
      <w:szCs w:val="16"/>
    </w:rPr>
  </w:style>
  <w:style w:type="paragraph" w:styleId="CommentText">
    <w:name w:val="annotation text"/>
    <w:basedOn w:val="Normal"/>
    <w:link w:val="CommentTextChar"/>
    <w:uiPriority w:val="99"/>
    <w:unhideWhenUsed/>
    <w:rsid w:val="0092271B"/>
    <w:pPr>
      <w:spacing w:after="0" w:line="240" w:lineRule="auto"/>
    </w:pPr>
    <w:rPr>
      <w:rFonts w:ascii="Arial" w:hAnsi="Arial" w:cs="Arial"/>
      <w:kern w:val="0"/>
      <w:sz w:val="20"/>
      <w:szCs w:val="20"/>
      <w:lang w:val="en-US"/>
      <w14:ligatures w14:val="none"/>
    </w:rPr>
  </w:style>
  <w:style w:type="character" w:customStyle="1" w:styleId="CommentTextChar">
    <w:name w:val="Comment Text Char"/>
    <w:basedOn w:val="DefaultParagraphFont"/>
    <w:link w:val="CommentText"/>
    <w:uiPriority w:val="99"/>
    <w:rsid w:val="0092271B"/>
    <w:rPr>
      <w:rFonts w:ascii="Arial" w:hAnsi="Arial" w:cs="Arial"/>
      <w:kern w:val="0"/>
      <w:sz w:val="20"/>
      <w:szCs w:val="20"/>
      <w:lang w:val="en-US"/>
      <w14:ligatures w14:val="none"/>
    </w:rPr>
  </w:style>
  <w:style w:type="character" w:customStyle="1" w:styleId="Heading3Char">
    <w:name w:val="Heading 3 Char"/>
    <w:basedOn w:val="DefaultParagraphFont"/>
    <w:link w:val="Heading3"/>
    <w:uiPriority w:val="9"/>
    <w:semiHidden/>
    <w:rsid w:val="002B15EB"/>
    <w:rPr>
      <w:rFonts w:asciiTheme="majorHAnsi" w:eastAsiaTheme="majorEastAsia" w:hAnsiTheme="majorHAnsi" w:cstheme="majorBidi"/>
      <w:color w:val="1F3763" w:themeColor="accent1" w:themeShade="7F"/>
      <w:kern w:val="0"/>
      <w:sz w:val="24"/>
      <w:szCs w:val="24"/>
      <w:lang w:val="en-US"/>
      <w14:ligatures w14:val="none"/>
    </w:rPr>
  </w:style>
  <w:style w:type="paragraph" w:styleId="CommentSubject">
    <w:name w:val="annotation subject"/>
    <w:basedOn w:val="CommentText"/>
    <w:next w:val="CommentText"/>
    <w:link w:val="CommentSubjectChar"/>
    <w:uiPriority w:val="99"/>
    <w:semiHidden/>
    <w:unhideWhenUsed/>
    <w:rsid w:val="00D068D3"/>
    <w:pPr>
      <w:spacing w:after="160"/>
    </w:pPr>
    <w:rPr>
      <w:rFonts w:asciiTheme="minorHAnsi" w:hAnsiTheme="minorHAnsi" w:cstheme="minorBidi"/>
      <w:b/>
      <w:bCs/>
      <w:kern w:val="2"/>
      <w:lang w:val="en-PH"/>
      <w14:ligatures w14:val="standardContextual"/>
    </w:rPr>
  </w:style>
  <w:style w:type="character" w:customStyle="1" w:styleId="CommentSubjectChar">
    <w:name w:val="Comment Subject Char"/>
    <w:basedOn w:val="CommentTextChar"/>
    <w:link w:val="CommentSubject"/>
    <w:uiPriority w:val="99"/>
    <w:semiHidden/>
    <w:rsid w:val="00D068D3"/>
    <w:rPr>
      <w:rFonts w:ascii="Arial" w:hAnsi="Arial" w:cs="Arial"/>
      <w:b/>
      <w:bCs/>
      <w:kern w:val="0"/>
      <w:sz w:val="20"/>
      <w:szCs w:val="20"/>
      <w:lang w:val="en-US"/>
      <w14:ligatures w14:val="none"/>
    </w:rPr>
  </w:style>
  <w:style w:type="paragraph" w:styleId="Header">
    <w:name w:val="header"/>
    <w:basedOn w:val="Normal"/>
    <w:link w:val="HeaderChar"/>
    <w:uiPriority w:val="99"/>
    <w:unhideWhenUsed/>
    <w:rsid w:val="00A30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793"/>
  </w:style>
  <w:style w:type="paragraph" w:styleId="Footer">
    <w:name w:val="footer"/>
    <w:basedOn w:val="Normal"/>
    <w:link w:val="FooterChar"/>
    <w:uiPriority w:val="99"/>
    <w:unhideWhenUsed/>
    <w:rsid w:val="00A30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9F39-2C9F-42E9-A851-AAF518819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22146</Words>
  <Characters>114938</Characters>
  <Application>Microsoft Office Word</Application>
  <DocSecurity>0</DocSecurity>
  <Lines>2128</Lines>
  <Paragraphs>463</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Section 5. Procedure for Awarding Hydropower Service Contract under Direct Appli</vt:lpstr>
      <vt:lpstr>    </vt:lpstr>
      <vt:lpstr>        Part 1. Pre-Application Process</vt:lpstr>
      <vt:lpstr>    </vt:lpstr>
      <vt:lpstr>    5.10 If the Hydropower Developer waived the Certificate of Authority during the </vt:lpstr>
      <vt:lpstr>    </vt:lpstr>
      <vt:lpstr>    Section 6. Terms of Certificate of Authority. The awardee of an HSC shall have e</vt:lpstr>
      <vt:lpstr>    </vt:lpstr>
      <vt:lpstr>    </vt:lpstr>
      <vt:lpstr>    </vt:lpstr>
      <vt:lpstr>    Section 7. Award of Hydropower Service Contract and Registration of Hydropower D</vt:lpstr>
      <vt:lpstr>    Issuance of Certificate of Authority. After the approval of an HSC Application a</vt:lpstr>
      <vt:lpstr>    </vt:lpstr>
      <vt:lpstr>    Signing of the Hydropower Service Contract. The following procedure shall govern</vt:lpstr>
      <vt:lpstr>    Notification of Award. The DOE shall notify the selected (under the REZA or OCSP</vt:lpstr>
      <vt:lpstr>    </vt:lpstr>
      <vt:lpstr>    Signing of the Hydropower Service Contract. The signing of the HSC shall be divi</vt:lpstr>
      <vt:lpstr>    </vt:lpstr>
      <vt:lpstr>    The REMB Supervising Assistant Secretary shall review the recommendation and end</vt:lpstr>
      <vt:lpstr>    Within one (1) day, the HOEMD shall validate the pre-signed HSC, and shall forwa</vt:lpstr>
      <vt:lpstr>    The Office of the DOE Secretary shall receive the pre-signed HSC and all its att</vt:lpstr>
      <vt:lpstr>    </vt:lpstr>
      <vt:lpstr>    Section 11. Conversion of Existing Hydropower Service Contract. For existing hyd</vt:lpstr>
      <vt:lpstr>    </vt:lpstr>
      <vt:lpstr>    Section 4. Procedure for Awarding Ocean Energy Service Contract under RE Zone Au</vt:lpstr>
      <vt:lpstr>        </vt:lpstr>
      <vt:lpstr>        Part 1. Pre-Application Process</vt:lpstr>
      <vt:lpstr>    5.10. 	If the Ocean Energy Developer waived the Certificate of Authority during </vt:lpstr>
      <vt:lpstr>    </vt:lpstr>
      <vt:lpstr>    Section 6. Terms of Certificate of Authority. The awardee of an OESC shall have </vt:lpstr>
      <vt:lpstr>    Section 7. Award of Ocean Energy Service Contract and Registration of Ocean Ener</vt:lpstr>
      <vt:lpstr>    8.3	The OESC shall have a term of twenty-five (25) years from the date of execut</vt:lpstr>
      <vt:lpstr>    Section 10. Conversion of Existing Ocean Energy Service Contract. For existing o</vt:lpstr>
    </vt:vector>
  </TitlesOfParts>
  <Company/>
  <LinksUpToDate>false</LinksUpToDate>
  <CharactersWithSpaces>136621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Diane B. Bonsol</dc:creator>
  <cp:keywords/>
  <dc:description/>
  <cp:lastModifiedBy>Ma. Margarette B. Rivera</cp:lastModifiedBy>
  <cp:revision>4</cp:revision>
  <dcterms:created xsi:type="dcterms:W3CDTF">2023-09-06T12:44:00Z</dcterms:created>
  <dcterms:modified xsi:type="dcterms:W3CDTF">2023-09-06T23:36:00Z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4f0b0f524e1c1856a073b507b0c0db60d8c613500b62736d3784a542a5e61113</vt:lpwstr>
  </property>
</Properties>
</file>