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737" w:type="dxa"/>
        <w:tblLook w:val="04A0" w:firstRow="1" w:lastRow="0" w:firstColumn="1" w:lastColumn="0" w:noHBand="0" w:noVBand="1"/>
      </w:tblPr>
      <w:tblGrid>
        <w:gridCol w:w="6799"/>
        <w:gridCol w:w="4255"/>
        <w:gridCol w:w="3683"/>
      </w:tblGrid>
      <w:tr w:rsidR="00040EFE" w:rsidRPr="008F428F" w14:paraId="0EA24E5D" w14:textId="77777777" w:rsidTr="003D7D89">
        <w:trPr>
          <w:trHeight w:val="262"/>
        </w:trPr>
        <w:tc>
          <w:tcPr>
            <w:tcW w:w="6799" w:type="dxa"/>
          </w:tcPr>
          <w:p w14:paraId="48D0075C" w14:textId="1608EB80" w:rsidR="00040EFE" w:rsidRPr="008F428F" w:rsidRDefault="00040EFE" w:rsidP="00040EFE">
            <w:pPr>
              <w:jc w:val="center"/>
              <w:rPr>
                <w:rFonts w:ascii="Arial" w:hAnsi="Arial" w:cs="Arial"/>
                <w:b/>
                <w:bCs/>
                <w:sz w:val="28"/>
                <w:szCs w:val="28"/>
              </w:rPr>
            </w:pPr>
            <w:r w:rsidRPr="008F428F">
              <w:rPr>
                <w:rFonts w:ascii="Arial" w:hAnsi="Arial" w:cs="Arial"/>
                <w:b/>
                <w:bCs/>
                <w:sz w:val="28"/>
                <w:szCs w:val="28"/>
              </w:rPr>
              <w:t>Section</w:t>
            </w:r>
          </w:p>
        </w:tc>
        <w:tc>
          <w:tcPr>
            <w:tcW w:w="4255" w:type="dxa"/>
          </w:tcPr>
          <w:p w14:paraId="6FB73D78" w14:textId="0ED525B3" w:rsidR="00040EFE" w:rsidRPr="008F428F" w:rsidRDefault="00040EFE" w:rsidP="00040EFE">
            <w:pPr>
              <w:jc w:val="center"/>
              <w:rPr>
                <w:rFonts w:ascii="Arial" w:hAnsi="Arial" w:cs="Arial"/>
                <w:b/>
                <w:bCs/>
                <w:sz w:val="28"/>
                <w:szCs w:val="28"/>
              </w:rPr>
            </w:pPr>
            <w:r w:rsidRPr="008F428F">
              <w:rPr>
                <w:rFonts w:ascii="Arial" w:hAnsi="Arial" w:cs="Arial"/>
                <w:b/>
                <w:bCs/>
                <w:sz w:val="28"/>
                <w:szCs w:val="28"/>
              </w:rPr>
              <w:t>Comments/Recommendation</w:t>
            </w:r>
          </w:p>
        </w:tc>
        <w:tc>
          <w:tcPr>
            <w:tcW w:w="3683" w:type="dxa"/>
          </w:tcPr>
          <w:p w14:paraId="63BE17C2" w14:textId="0E45D225" w:rsidR="00040EFE" w:rsidRPr="008F428F" w:rsidRDefault="00040EFE" w:rsidP="00040EFE">
            <w:pPr>
              <w:jc w:val="center"/>
              <w:rPr>
                <w:rFonts w:ascii="Arial" w:hAnsi="Arial" w:cs="Arial"/>
                <w:b/>
                <w:bCs/>
                <w:sz w:val="28"/>
                <w:szCs w:val="28"/>
              </w:rPr>
            </w:pPr>
            <w:r w:rsidRPr="008F428F">
              <w:rPr>
                <w:rFonts w:ascii="Arial" w:hAnsi="Arial" w:cs="Arial"/>
                <w:b/>
                <w:bCs/>
                <w:sz w:val="28"/>
                <w:szCs w:val="28"/>
              </w:rPr>
              <w:t>Proposed/Suggested Revision</w:t>
            </w:r>
          </w:p>
        </w:tc>
      </w:tr>
      <w:tr w:rsidR="009D41CC" w:rsidRPr="008F428F" w14:paraId="6ED0F68A" w14:textId="77777777" w:rsidTr="003D7D89">
        <w:trPr>
          <w:trHeight w:val="262"/>
        </w:trPr>
        <w:tc>
          <w:tcPr>
            <w:tcW w:w="6799" w:type="dxa"/>
          </w:tcPr>
          <w:p w14:paraId="0F9AC4F0" w14:textId="77777777" w:rsidR="009D41CC" w:rsidRDefault="003E3602" w:rsidP="00F66803">
            <w:pPr>
              <w:jc w:val="center"/>
              <w:rPr>
                <w:rFonts w:ascii="Arial" w:hAnsi="Arial" w:cs="Arial"/>
                <w:b/>
                <w:sz w:val="24"/>
                <w:szCs w:val="24"/>
              </w:rPr>
            </w:pPr>
            <w:r w:rsidRPr="008F428F">
              <w:rPr>
                <w:rFonts w:ascii="Arial" w:hAnsi="Arial" w:cs="Arial"/>
                <w:b/>
                <w:sz w:val="24"/>
                <w:szCs w:val="24"/>
              </w:rPr>
              <w:t>DEPARTMENT CIRCULAR NO. DC202</w:t>
            </w:r>
            <w:r w:rsidR="00F66803">
              <w:rPr>
                <w:rFonts w:ascii="Arial" w:hAnsi="Arial" w:cs="Arial"/>
                <w:b/>
                <w:sz w:val="24"/>
                <w:szCs w:val="24"/>
              </w:rPr>
              <w:t>5</w:t>
            </w:r>
            <w:r w:rsidRPr="008F428F">
              <w:rPr>
                <w:rFonts w:ascii="Arial" w:hAnsi="Arial" w:cs="Arial"/>
                <w:b/>
                <w:sz w:val="24"/>
                <w:szCs w:val="24"/>
              </w:rPr>
              <w:t>-__________</w:t>
            </w:r>
          </w:p>
          <w:p w14:paraId="72E0A198" w14:textId="77777777" w:rsidR="00DD5F92" w:rsidRDefault="00DD5F92" w:rsidP="00F66803">
            <w:pPr>
              <w:jc w:val="center"/>
              <w:rPr>
                <w:b/>
              </w:rPr>
            </w:pPr>
          </w:p>
          <w:p w14:paraId="1C0C08AC" w14:textId="77777777" w:rsidR="00DD5F92" w:rsidRPr="00FB6017" w:rsidRDefault="00DD5F92" w:rsidP="00DD5F92">
            <w:pPr>
              <w:pStyle w:val="p2"/>
              <w:tabs>
                <w:tab w:val="left" w:pos="284"/>
                <w:tab w:val="left" w:pos="567"/>
                <w:tab w:val="left" w:pos="851"/>
                <w:tab w:val="left" w:pos="1134"/>
              </w:tabs>
              <w:contextualSpacing/>
              <w:jc w:val="both"/>
              <w:rPr>
                <w:rStyle w:val="apple-converted-space"/>
                <w:rFonts w:ascii="Arial" w:hAnsi="Arial" w:cs="Arial"/>
                <w:color w:val="000000" w:themeColor="text1"/>
                <w:sz w:val="24"/>
                <w:szCs w:val="24"/>
              </w:rPr>
            </w:pPr>
            <w:r w:rsidRPr="00FB6017">
              <w:rPr>
                <w:rFonts w:ascii="Arial" w:hAnsi="Arial" w:cs="Arial"/>
                <w:b/>
                <w:bCs/>
                <w:color w:val="000000" w:themeColor="text1"/>
                <w:sz w:val="24"/>
                <w:szCs w:val="24"/>
              </w:rPr>
              <w:t>WHEREAS</w:t>
            </w:r>
            <w:r w:rsidRPr="00FB6017">
              <w:rPr>
                <w:rFonts w:ascii="Arial" w:hAnsi="Arial" w:cs="Arial"/>
                <w:color w:val="000000" w:themeColor="text1"/>
                <w:sz w:val="24"/>
                <w:szCs w:val="24"/>
              </w:rPr>
              <w:t>, Republic Act (RA) No. 9136, otherwise known as the “</w:t>
            </w:r>
            <w:r w:rsidRPr="00FB6017">
              <w:rPr>
                <w:rFonts w:ascii="Arial" w:hAnsi="Arial" w:cs="Arial"/>
                <w:i/>
                <w:iCs/>
                <w:color w:val="000000" w:themeColor="text1"/>
                <w:sz w:val="24"/>
                <w:szCs w:val="24"/>
              </w:rPr>
              <w:t>Electric Power Industry Reform Act of 2001</w:t>
            </w:r>
            <w:r w:rsidRPr="00FB6017">
              <w:rPr>
                <w:rFonts w:ascii="Arial" w:hAnsi="Arial" w:cs="Arial"/>
                <w:color w:val="000000" w:themeColor="text1"/>
                <w:sz w:val="24"/>
                <w:szCs w:val="24"/>
              </w:rPr>
              <w:t>” or “EPIRA”, declares the policy of the State to, among others: (a) assure socially and environmentally compatible energy sources and infrastructure; and (b) promote the utilization of indigenous and new and renewable energy (RE) resources in power generation in order to reduce dependence on imported energy;</w:t>
            </w:r>
            <w:r w:rsidRPr="00FB6017">
              <w:rPr>
                <w:rStyle w:val="apple-converted-space"/>
                <w:rFonts w:ascii="Arial" w:hAnsi="Arial" w:cs="Arial"/>
                <w:color w:val="000000" w:themeColor="text1"/>
                <w:sz w:val="24"/>
                <w:szCs w:val="24"/>
              </w:rPr>
              <w:t> </w:t>
            </w:r>
          </w:p>
          <w:p w14:paraId="14B57944" w14:textId="77777777" w:rsidR="00DD5F92" w:rsidRPr="00FB6017" w:rsidRDefault="00DD5F92" w:rsidP="00DD5F92">
            <w:pPr>
              <w:pStyle w:val="p2"/>
              <w:tabs>
                <w:tab w:val="left" w:pos="284"/>
                <w:tab w:val="left" w:pos="567"/>
                <w:tab w:val="left" w:pos="851"/>
                <w:tab w:val="left" w:pos="1134"/>
              </w:tabs>
              <w:jc w:val="both"/>
              <w:rPr>
                <w:rStyle w:val="apple-converted-space"/>
                <w:rFonts w:ascii="Arial" w:hAnsi="Arial" w:cs="Arial"/>
                <w:color w:val="000000" w:themeColor="text1"/>
                <w:sz w:val="24"/>
                <w:szCs w:val="24"/>
              </w:rPr>
            </w:pPr>
          </w:p>
          <w:p w14:paraId="10F9E3D2" w14:textId="77777777" w:rsidR="00DD5F92" w:rsidRDefault="00DD5F92" w:rsidP="00DD5F92">
            <w:pPr>
              <w:pStyle w:val="p2"/>
              <w:tabs>
                <w:tab w:val="left" w:pos="284"/>
                <w:tab w:val="left" w:pos="567"/>
                <w:tab w:val="left" w:pos="851"/>
                <w:tab w:val="left" w:pos="1134"/>
              </w:tabs>
              <w:contextualSpacing/>
              <w:jc w:val="both"/>
              <w:rPr>
                <w:rStyle w:val="apple-converted-space"/>
                <w:rFonts w:ascii="Arial" w:hAnsi="Arial" w:cs="Arial"/>
                <w:color w:val="000000" w:themeColor="text1"/>
                <w:sz w:val="24"/>
                <w:szCs w:val="24"/>
              </w:rPr>
            </w:pPr>
            <w:r w:rsidRPr="00FB6017">
              <w:rPr>
                <w:rFonts w:ascii="Arial" w:hAnsi="Arial" w:cs="Arial"/>
                <w:b/>
                <w:bCs/>
                <w:color w:val="000000" w:themeColor="text1"/>
                <w:sz w:val="24"/>
                <w:szCs w:val="24"/>
              </w:rPr>
              <w:t>WHEREAS</w:t>
            </w:r>
            <w:r w:rsidRPr="00FB6017">
              <w:rPr>
                <w:rFonts w:ascii="Arial" w:hAnsi="Arial" w:cs="Arial"/>
                <w:color w:val="000000" w:themeColor="text1"/>
                <w:sz w:val="24"/>
                <w:szCs w:val="24"/>
              </w:rPr>
              <w:t>, RA No. 9513, otherwise known as the “</w:t>
            </w:r>
            <w:r w:rsidRPr="00FB6017">
              <w:rPr>
                <w:rFonts w:ascii="Arial" w:hAnsi="Arial" w:cs="Arial"/>
                <w:i/>
                <w:iCs/>
                <w:color w:val="000000" w:themeColor="text1"/>
                <w:sz w:val="24"/>
                <w:szCs w:val="24"/>
              </w:rPr>
              <w:t>Renewable Energy Act of 2008</w:t>
            </w:r>
            <w:r w:rsidRPr="00FB6017">
              <w:rPr>
                <w:rFonts w:ascii="Arial" w:hAnsi="Arial" w:cs="Arial"/>
                <w:color w:val="000000" w:themeColor="text1"/>
                <w:sz w:val="24"/>
                <w:szCs w:val="24"/>
              </w:rPr>
              <w:t>” or the “RE Act”, declares the policy of the State to accelerate the exploration and development of Renewable Energy (RE) resources including hybrid systems, to achieve self-reliance, strategies to reduce the country’s dependence on fossil fuels and thereby minimize the country’s exposure to price fluctuations in the international markets, the effects of which spiral down to almost all sectors of the economy;</w:t>
            </w:r>
            <w:r w:rsidRPr="00FB6017">
              <w:rPr>
                <w:rStyle w:val="apple-converted-space"/>
                <w:rFonts w:ascii="Arial" w:hAnsi="Arial" w:cs="Arial"/>
                <w:color w:val="000000" w:themeColor="text1"/>
                <w:sz w:val="24"/>
                <w:szCs w:val="24"/>
              </w:rPr>
              <w:t>  </w:t>
            </w:r>
          </w:p>
          <w:p w14:paraId="5DA5B904" w14:textId="77777777" w:rsidR="00DD5F92" w:rsidRPr="00FB6017" w:rsidRDefault="00DD5F92" w:rsidP="00DD5F92">
            <w:pPr>
              <w:pStyle w:val="p2"/>
              <w:tabs>
                <w:tab w:val="left" w:pos="284"/>
                <w:tab w:val="left" w:pos="567"/>
                <w:tab w:val="left" w:pos="851"/>
                <w:tab w:val="left" w:pos="1134"/>
              </w:tabs>
              <w:jc w:val="both"/>
              <w:rPr>
                <w:rFonts w:ascii="Arial" w:hAnsi="Arial" w:cs="Arial"/>
                <w:color w:val="000000" w:themeColor="text1"/>
                <w:sz w:val="24"/>
                <w:szCs w:val="24"/>
              </w:rPr>
            </w:pPr>
          </w:p>
          <w:p w14:paraId="39B7C477" w14:textId="77777777" w:rsidR="00DD5F92" w:rsidRPr="00FB6017" w:rsidRDefault="00DD5F92" w:rsidP="00DD5F92">
            <w:pPr>
              <w:pStyle w:val="p2"/>
              <w:tabs>
                <w:tab w:val="left" w:pos="284"/>
                <w:tab w:val="left" w:pos="567"/>
                <w:tab w:val="left" w:pos="851"/>
                <w:tab w:val="left" w:pos="1134"/>
              </w:tabs>
              <w:contextualSpacing/>
              <w:jc w:val="both"/>
              <w:rPr>
                <w:rFonts w:ascii="Arial" w:hAnsi="Arial" w:cs="Arial"/>
                <w:color w:val="000000" w:themeColor="text1"/>
                <w:sz w:val="24"/>
                <w:szCs w:val="24"/>
              </w:rPr>
            </w:pPr>
            <w:proofErr w:type="gramStart"/>
            <w:r w:rsidRPr="00FB6017">
              <w:rPr>
                <w:rFonts w:ascii="Arial" w:hAnsi="Arial" w:cs="Arial"/>
                <w:b/>
                <w:bCs/>
                <w:color w:val="000000" w:themeColor="text1"/>
                <w:sz w:val="24"/>
                <w:szCs w:val="24"/>
              </w:rPr>
              <w:t>WHEREAS</w:t>
            </w:r>
            <w:r w:rsidRPr="00FB6017">
              <w:rPr>
                <w:rFonts w:ascii="Arial" w:hAnsi="Arial" w:cs="Arial"/>
                <w:color w:val="000000" w:themeColor="text1"/>
                <w:sz w:val="24"/>
                <w:szCs w:val="24"/>
              </w:rPr>
              <w:t>,</w:t>
            </w:r>
            <w:proofErr w:type="gramEnd"/>
            <w:r w:rsidRPr="00FB6017">
              <w:rPr>
                <w:rFonts w:ascii="Arial" w:hAnsi="Arial" w:cs="Arial"/>
                <w:color w:val="000000" w:themeColor="text1"/>
                <w:sz w:val="24"/>
                <w:szCs w:val="24"/>
              </w:rPr>
              <w:t xml:space="preserve"> the RE Act further declares the policy of the State to increase the utilization of RE by institutionalizing the development of national and local capabilities in the use of RE Systems, and promoting their efficient and cost-effective commercial application by providing fiscal and non-fiscal incentives;</w:t>
            </w:r>
          </w:p>
          <w:p w14:paraId="59F8E64A" w14:textId="77777777" w:rsidR="00DD5F92" w:rsidRPr="00FB6017" w:rsidRDefault="00DD5F92" w:rsidP="00DD5F92">
            <w:pPr>
              <w:pStyle w:val="p2"/>
              <w:tabs>
                <w:tab w:val="left" w:pos="284"/>
                <w:tab w:val="left" w:pos="567"/>
                <w:tab w:val="left" w:pos="851"/>
                <w:tab w:val="left" w:pos="1134"/>
              </w:tabs>
              <w:jc w:val="both"/>
              <w:rPr>
                <w:rFonts w:ascii="Arial" w:hAnsi="Arial" w:cs="Arial"/>
                <w:b/>
                <w:bCs/>
                <w:color w:val="000000" w:themeColor="text1"/>
                <w:sz w:val="24"/>
                <w:szCs w:val="24"/>
              </w:rPr>
            </w:pPr>
          </w:p>
          <w:p w14:paraId="3CA795A7" w14:textId="77777777" w:rsidR="00DD5F92" w:rsidRPr="00FB6017" w:rsidRDefault="00DD5F92" w:rsidP="00DD5F92">
            <w:pPr>
              <w:pStyle w:val="p2"/>
              <w:tabs>
                <w:tab w:val="left" w:pos="284"/>
                <w:tab w:val="left" w:pos="567"/>
                <w:tab w:val="left" w:pos="851"/>
                <w:tab w:val="left" w:pos="1134"/>
              </w:tabs>
              <w:jc w:val="both"/>
              <w:rPr>
                <w:rFonts w:ascii="Arial" w:hAnsi="Arial" w:cs="Arial"/>
                <w:color w:val="000000" w:themeColor="text1"/>
                <w:sz w:val="24"/>
                <w:szCs w:val="24"/>
              </w:rPr>
            </w:pPr>
            <w:r w:rsidRPr="00FB6017">
              <w:rPr>
                <w:rFonts w:ascii="Arial" w:hAnsi="Arial" w:cs="Arial"/>
                <w:b/>
                <w:bCs/>
                <w:color w:val="000000" w:themeColor="text1"/>
                <w:sz w:val="24"/>
                <w:szCs w:val="24"/>
              </w:rPr>
              <w:t>WHEREAS</w:t>
            </w:r>
            <w:r w:rsidRPr="00FB6017">
              <w:rPr>
                <w:rFonts w:ascii="Arial" w:hAnsi="Arial" w:cs="Arial"/>
                <w:color w:val="000000" w:themeColor="text1"/>
                <w:sz w:val="24"/>
                <w:szCs w:val="24"/>
              </w:rPr>
              <w:t xml:space="preserve">, pursuant to Section 10 of the RE Act, subject to technical considerations and without discrimination and upon request by distribution end-users, the Distribution Utilities (DU) </w:t>
            </w:r>
            <w:r w:rsidRPr="00FB6017">
              <w:rPr>
                <w:rFonts w:ascii="Arial" w:hAnsi="Arial" w:cs="Arial"/>
                <w:color w:val="000000" w:themeColor="text1"/>
                <w:sz w:val="24"/>
                <w:szCs w:val="24"/>
              </w:rPr>
              <w:lastRenderedPageBreak/>
              <w:t xml:space="preserve">shall enter into net-metering agreements with qualified end-users who will be installing the RE </w:t>
            </w:r>
            <w:proofErr w:type="gramStart"/>
            <w:r w:rsidRPr="00FB6017">
              <w:rPr>
                <w:rFonts w:ascii="Arial" w:hAnsi="Arial" w:cs="Arial"/>
                <w:color w:val="000000" w:themeColor="text1"/>
                <w:sz w:val="24"/>
                <w:szCs w:val="24"/>
              </w:rPr>
              <w:t>System;</w:t>
            </w:r>
            <w:proofErr w:type="gramEnd"/>
          </w:p>
          <w:p w14:paraId="0424E94F" w14:textId="77777777" w:rsidR="00DD5F92" w:rsidRPr="00FB6017" w:rsidRDefault="00DD5F92" w:rsidP="00DD5F92">
            <w:pPr>
              <w:pStyle w:val="p2"/>
              <w:tabs>
                <w:tab w:val="left" w:pos="284"/>
                <w:tab w:val="left" w:pos="567"/>
                <w:tab w:val="left" w:pos="851"/>
                <w:tab w:val="left" w:pos="1134"/>
              </w:tabs>
              <w:jc w:val="both"/>
              <w:rPr>
                <w:rFonts w:ascii="Arial" w:hAnsi="Arial" w:cs="Arial"/>
                <w:color w:val="000000" w:themeColor="text1"/>
                <w:sz w:val="24"/>
                <w:szCs w:val="24"/>
              </w:rPr>
            </w:pPr>
          </w:p>
          <w:p w14:paraId="171733AC" w14:textId="77777777" w:rsidR="00DD5F92" w:rsidRPr="00FB6017" w:rsidRDefault="00DD5F92" w:rsidP="00DD5F92">
            <w:pPr>
              <w:pStyle w:val="p2"/>
              <w:tabs>
                <w:tab w:val="left" w:pos="284"/>
                <w:tab w:val="left" w:pos="567"/>
                <w:tab w:val="left" w:pos="851"/>
                <w:tab w:val="left" w:pos="1134"/>
              </w:tabs>
              <w:contextualSpacing/>
              <w:jc w:val="both"/>
              <w:rPr>
                <w:rFonts w:ascii="Arial" w:hAnsi="Arial" w:cs="Arial"/>
                <w:color w:val="000000" w:themeColor="text1"/>
                <w:sz w:val="24"/>
                <w:szCs w:val="24"/>
              </w:rPr>
            </w:pPr>
            <w:r w:rsidRPr="00FB6017">
              <w:rPr>
                <w:rFonts w:ascii="Arial" w:hAnsi="Arial" w:cs="Arial"/>
                <w:b/>
                <w:bCs/>
                <w:color w:val="000000" w:themeColor="text1"/>
                <w:sz w:val="24"/>
                <w:szCs w:val="24"/>
              </w:rPr>
              <w:t>WHEREAS</w:t>
            </w:r>
            <w:r w:rsidRPr="00FB6017">
              <w:rPr>
                <w:rFonts w:ascii="Arial" w:hAnsi="Arial" w:cs="Arial"/>
                <w:color w:val="000000" w:themeColor="text1"/>
                <w:sz w:val="24"/>
                <w:szCs w:val="24"/>
              </w:rPr>
              <w:t>, on 22 December 2017, the Department of Energy (DOE) issued the Department Circular No. DC2017-12-0015 entitled, “Promulgating the Rules and Guidelines Governing the Establishment of the Renewable Portfolio Standards for On-Grid Areas,” or the “RPS On-Grid Rules” where energy produced or generated by Eligible RE Facilities under Net-Metering Program are eligible to earn RE Certificates (REC), which shall be credited as one of the mechanisms that the DUs may apply as part of their compliance with their obligations as Mandated Participants under the RPS On-Grid Rules;</w:t>
            </w:r>
          </w:p>
          <w:p w14:paraId="70261B42" w14:textId="77777777" w:rsidR="00DD5F92" w:rsidRPr="00FB6017" w:rsidRDefault="00DD5F92" w:rsidP="00DD5F92">
            <w:pPr>
              <w:pStyle w:val="p2"/>
              <w:tabs>
                <w:tab w:val="left" w:pos="284"/>
                <w:tab w:val="left" w:pos="567"/>
                <w:tab w:val="left" w:pos="851"/>
                <w:tab w:val="left" w:pos="1134"/>
              </w:tabs>
              <w:jc w:val="both"/>
              <w:rPr>
                <w:rFonts w:ascii="Arial" w:hAnsi="Arial" w:cs="Arial"/>
                <w:b/>
                <w:bCs/>
                <w:color w:val="000000" w:themeColor="text1"/>
                <w:sz w:val="24"/>
                <w:szCs w:val="24"/>
              </w:rPr>
            </w:pPr>
          </w:p>
          <w:p w14:paraId="00F0A1A6" w14:textId="77777777" w:rsidR="00DD5F92" w:rsidRPr="00FB6017" w:rsidRDefault="00DD5F92" w:rsidP="00DD5F92">
            <w:pPr>
              <w:pStyle w:val="p2"/>
              <w:tabs>
                <w:tab w:val="left" w:pos="284"/>
                <w:tab w:val="left" w:pos="567"/>
                <w:tab w:val="left" w:pos="851"/>
                <w:tab w:val="left" w:pos="1134"/>
              </w:tabs>
              <w:jc w:val="both"/>
              <w:rPr>
                <w:rFonts w:ascii="Arial" w:hAnsi="Arial" w:cs="Arial"/>
                <w:color w:val="000000" w:themeColor="text1"/>
                <w:sz w:val="24"/>
                <w:szCs w:val="24"/>
              </w:rPr>
            </w:pPr>
            <w:r w:rsidRPr="00FB6017">
              <w:rPr>
                <w:rFonts w:ascii="Arial" w:hAnsi="Arial" w:cs="Arial"/>
                <w:b/>
                <w:bCs/>
                <w:color w:val="000000" w:themeColor="text1"/>
                <w:sz w:val="24"/>
                <w:szCs w:val="24"/>
              </w:rPr>
              <w:t>WHEREAS</w:t>
            </w:r>
            <w:r w:rsidRPr="00FB6017">
              <w:rPr>
                <w:rFonts w:ascii="Arial" w:hAnsi="Arial" w:cs="Arial"/>
                <w:color w:val="000000" w:themeColor="text1"/>
                <w:sz w:val="24"/>
                <w:szCs w:val="24"/>
              </w:rPr>
              <w:t xml:space="preserve">, on 16 August 2019, the ERC issued the Resolution No. 06, Series of 2019 entitled “Adopting the Amendments to the Rules Enabling the Net-Metering Program for Renewable Energy” or the “Amended Net-Metering Rules” to address issues on the applicability of the lifeline rates to Qualified End-Users and whether the mechanism of accumulating the credits of net exports on the customer bill is </w:t>
            </w:r>
            <w:proofErr w:type="gramStart"/>
            <w:r w:rsidRPr="00FB6017">
              <w:rPr>
                <w:rFonts w:ascii="Arial" w:hAnsi="Arial" w:cs="Arial"/>
                <w:color w:val="000000" w:themeColor="text1"/>
                <w:sz w:val="24"/>
                <w:szCs w:val="24"/>
              </w:rPr>
              <w:t>reasonable;</w:t>
            </w:r>
            <w:proofErr w:type="gramEnd"/>
          </w:p>
          <w:p w14:paraId="2A761BB9" w14:textId="77777777" w:rsidR="00DD5F92" w:rsidRDefault="00DD5F92" w:rsidP="00DD5F92">
            <w:pPr>
              <w:pStyle w:val="p2"/>
              <w:tabs>
                <w:tab w:val="left" w:pos="284"/>
                <w:tab w:val="left" w:pos="567"/>
                <w:tab w:val="left" w:pos="851"/>
                <w:tab w:val="left" w:pos="1134"/>
              </w:tabs>
              <w:jc w:val="both"/>
              <w:rPr>
                <w:rFonts w:ascii="Arial" w:hAnsi="Arial" w:cs="Arial"/>
                <w:color w:val="000000" w:themeColor="text1"/>
                <w:sz w:val="24"/>
                <w:szCs w:val="24"/>
              </w:rPr>
            </w:pPr>
            <w:r w:rsidRPr="00FB6017">
              <w:rPr>
                <w:rFonts w:ascii="Arial" w:hAnsi="Arial" w:cs="Arial"/>
                <w:b/>
                <w:bCs/>
                <w:color w:val="000000" w:themeColor="text1"/>
                <w:sz w:val="24"/>
                <w:szCs w:val="24"/>
              </w:rPr>
              <w:t>WHEREAS</w:t>
            </w:r>
            <w:r w:rsidRPr="00FB6017">
              <w:rPr>
                <w:rFonts w:ascii="Arial" w:hAnsi="Arial" w:cs="Arial"/>
                <w:color w:val="000000" w:themeColor="text1"/>
                <w:sz w:val="24"/>
                <w:szCs w:val="24"/>
              </w:rPr>
              <w:t>, on 22 October 2020, the DOE issued the Department Circular No. DC2020-10-0022, entitled as “Prescribing the Policies to Enhance the Net-Metering Program for Renewable Energy Systems</w:t>
            </w:r>
            <w:proofErr w:type="gramStart"/>
            <w:r w:rsidRPr="00FB6017">
              <w:rPr>
                <w:rFonts w:ascii="Arial" w:hAnsi="Arial" w:cs="Arial"/>
                <w:color w:val="000000" w:themeColor="text1"/>
                <w:sz w:val="24"/>
                <w:szCs w:val="24"/>
              </w:rPr>
              <w:t>”;</w:t>
            </w:r>
            <w:proofErr w:type="gramEnd"/>
          </w:p>
          <w:p w14:paraId="10124773" w14:textId="77777777" w:rsidR="00DD5F92" w:rsidRPr="00FB6017" w:rsidRDefault="00DD5F92" w:rsidP="00DD5F92">
            <w:pPr>
              <w:pStyle w:val="p2"/>
              <w:tabs>
                <w:tab w:val="left" w:pos="284"/>
                <w:tab w:val="left" w:pos="567"/>
                <w:tab w:val="left" w:pos="851"/>
                <w:tab w:val="left" w:pos="1134"/>
              </w:tabs>
              <w:jc w:val="both"/>
              <w:rPr>
                <w:rFonts w:ascii="Arial" w:hAnsi="Arial" w:cs="Arial"/>
                <w:color w:val="000000" w:themeColor="text1"/>
                <w:sz w:val="24"/>
                <w:szCs w:val="24"/>
              </w:rPr>
            </w:pPr>
          </w:p>
          <w:p w14:paraId="284BD172" w14:textId="77777777" w:rsidR="00DD5F92" w:rsidRDefault="00DD5F92" w:rsidP="00DD5F92">
            <w:pPr>
              <w:pStyle w:val="p2"/>
              <w:tabs>
                <w:tab w:val="left" w:pos="284"/>
                <w:tab w:val="left" w:pos="567"/>
                <w:tab w:val="left" w:pos="851"/>
                <w:tab w:val="left" w:pos="1134"/>
              </w:tabs>
              <w:contextualSpacing/>
              <w:jc w:val="both"/>
              <w:rPr>
                <w:rFonts w:ascii="Arial" w:hAnsi="Arial" w:cs="Arial"/>
                <w:color w:val="000000" w:themeColor="text1"/>
                <w:sz w:val="24"/>
                <w:szCs w:val="24"/>
              </w:rPr>
            </w:pPr>
            <w:r w:rsidRPr="00FB6017">
              <w:rPr>
                <w:rFonts w:ascii="Arial" w:hAnsi="Arial" w:cs="Arial"/>
                <w:b/>
                <w:bCs/>
                <w:color w:val="000000" w:themeColor="text1"/>
                <w:sz w:val="24"/>
                <w:szCs w:val="24"/>
              </w:rPr>
              <w:t>WHEREAS</w:t>
            </w:r>
            <w:r w:rsidRPr="00FB6017">
              <w:rPr>
                <w:rFonts w:ascii="Arial" w:hAnsi="Arial" w:cs="Arial"/>
                <w:color w:val="000000" w:themeColor="text1"/>
                <w:sz w:val="24"/>
                <w:szCs w:val="24"/>
              </w:rPr>
              <w:t xml:space="preserve">, on 19 August 2024, the DOE issued the Department Circular No. DC2024-08-0025, entitled as “Prescribing Further Policies to Enhance the Net-Metering Program for Renewable Energy Systems Amending, for this Purpose, Department Circular (DC) No. DC2020-10-0020” to address issues on the banking of Net-Metering Credits and REC </w:t>
            </w:r>
            <w:proofErr w:type="gramStart"/>
            <w:r w:rsidRPr="00FB6017">
              <w:rPr>
                <w:rFonts w:ascii="Arial" w:hAnsi="Arial" w:cs="Arial"/>
                <w:color w:val="000000" w:themeColor="text1"/>
                <w:sz w:val="24"/>
                <w:szCs w:val="24"/>
              </w:rPr>
              <w:t>meter;</w:t>
            </w:r>
            <w:proofErr w:type="gramEnd"/>
          </w:p>
          <w:p w14:paraId="7FAEC941" w14:textId="77777777" w:rsidR="00DD5F92" w:rsidRPr="00FB6017" w:rsidRDefault="00DD5F92" w:rsidP="00DD5F92">
            <w:pPr>
              <w:pStyle w:val="p2"/>
              <w:tabs>
                <w:tab w:val="left" w:pos="284"/>
                <w:tab w:val="left" w:pos="567"/>
                <w:tab w:val="left" w:pos="851"/>
                <w:tab w:val="left" w:pos="1134"/>
              </w:tabs>
              <w:jc w:val="both"/>
              <w:rPr>
                <w:rFonts w:ascii="Arial" w:hAnsi="Arial" w:cs="Arial"/>
                <w:color w:val="000000" w:themeColor="text1"/>
                <w:sz w:val="24"/>
                <w:szCs w:val="24"/>
              </w:rPr>
            </w:pPr>
          </w:p>
          <w:p w14:paraId="6F6BCC11" w14:textId="77777777" w:rsidR="00DD5F92" w:rsidRDefault="00DD5F92" w:rsidP="00DD5F92">
            <w:pPr>
              <w:tabs>
                <w:tab w:val="left" w:pos="284"/>
                <w:tab w:val="left" w:pos="567"/>
                <w:tab w:val="left" w:pos="851"/>
                <w:tab w:val="left" w:pos="1134"/>
              </w:tabs>
              <w:contextualSpacing/>
              <w:jc w:val="both"/>
              <w:rPr>
                <w:rFonts w:ascii="Arial" w:hAnsi="Arial" w:cs="Arial"/>
                <w:color w:val="000000" w:themeColor="text1"/>
                <w:sz w:val="24"/>
                <w:szCs w:val="24"/>
              </w:rPr>
            </w:pPr>
            <w:proofErr w:type="gramStart"/>
            <w:r w:rsidRPr="00FB6017">
              <w:rPr>
                <w:rFonts w:ascii="Arial" w:hAnsi="Arial" w:cs="Arial"/>
                <w:b/>
                <w:bCs/>
                <w:color w:val="000000" w:themeColor="text1"/>
                <w:sz w:val="24"/>
                <w:szCs w:val="24"/>
              </w:rPr>
              <w:t>WHEREAS</w:t>
            </w:r>
            <w:r w:rsidRPr="00FB6017">
              <w:rPr>
                <w:rFonts w:ascii="Arial" w:hAnsi="Arial" w:cs="Arial"/>
                <w:color w:val="000000" w:themeColor="text1"/>
                <w:sz w:val="24"/>
                <w:szCs w:val="24"/>
              </w:rPr>
              <w:t>,</w:t>
            </w:r>
            <w:proofErr w:type="gramEnd"/>
            <w:r w:rsidRPr="00FB6017">
              <w:rPr>
                <w:rFonts w:ascii="Arial" w:hAnsi="Arial" w:cs="Arial"/>
                <w:color w:val="000000" w:themeColor="text1"/>
                <w:sz w:val="24"/>
                <w:szCs w:val="24"/>
              </w:rPr>
              <w:t xml:space="preserve"> the DOE identified various issues and concerns regarding barriers to participation and REC ownership in the Net-Metering Program;</w:t>
            </w:r>
          </w:p>
          <w:p w14:paraId="15809DBE" w14:textId="77777777" w:rsidR="00DD5F92" w:rsidRPr="00FB6017" w:rsidRDefault="00DD5F92" w:rsidP="00DD5F92">
            <w:pPr>
              <w:tabs>
                <w:tab w:val="left" w:pos="284"/>
                <w:tab w:val="left" w:pos="567"/>
                <w:tab w:val="left" w:pos="851"/>
                <w:tab w:val="left" w:pos="1134"/>
              </w:tabs>
              <w:contextualSpacing/>
              <w:jc w:val="both"/>
              <w:rPr>
                <w:rFonts w:ascii="Arial" w:hAnsi="Arial" w:cs="Arial"/>
                <w:color w:val="000000" w:themeColor="text1"/>
                <w:sz w:val="24"/>
                <w:szCs w:val="24"/>
              </w:rPr>
            </w:pPr>
          </w:p>
          <w:p w14:paraId="0230355A" w14:textId="77777777" w:rsidR="00DD5F92" w:rsidRDefault="00DD5F92" w:rsidP="00DD5F92">
            <w:pPr>
              <w:tabs>
                <w:tab w:val="left" w:pos="284"/>
                <w:tab w:val="left" w:pos="567"/>
                <w:tab w:val="left" w:pos="851"/>
                <w:tab w:val="left" w:pos="1134"/>
              </w:tabs>
              <w:contextualSpacing/>
              <w:jc w:val="both"/>
              <w:rPr>
                <w:rFonts w:ascii="Arial" w:hAnsi="Arial" w:cs="Arial"/>
                <w:color w:val="000000" w:themeColor="text1"/>
                <w:sz w:val="24"/>
                <w:szCs w:val="24"/>
              </w:rPr>
            </w:pPr>
            <w:r w:rsidRPr="00FB6017">
              <w:rPr>
                <w:rFonts w:ascii="Arial" w:hAnsi="Arial" w:cs="Arial"/>
                <w:b/>
                <w:bCs/>
                <w:color w:val="000000" w:themeColor="text1"/>
                <w:sz w:val="24"/>
                <w:szCs w:val="24"/>
              </w:rPr>
              <w:t>WHEREAS</w:t>
            </w:r>
            <w:r w:rsidRPr="00FB6017">
              <w:rPr>
                <w:rFonts w:ascii="Arial" w:hAnsi="Arial" w:cs="Arial"/>
                <w:color w:val="000000" w:themeColor="text1"/>
                <w:sz w:val="24"/>
                <w:szCs w:val="24"/>
              </w:rPr>
              <w:t xml:space="preserve">, on ______ 2025, the DOE conducted public consultation through Microsoft Teams and Facebook Live on the proposed supplemental policy for the Net-Metering Program to address the aforementioned issues and concerns and to increase the </w:t>
            </w:r>
            <w:proofErr w:type="gramStart"/>
            <w:r w:rsidRPr="00FB6017">
              <w:rPr>
                <w:rFonts w:ascii="Arial" w:hAnsi="Arial" w:cs="Arial"/>
                <w:color w:val="000000" w:themeColor="text1"/>
                <w:sz w:val="24"/>
                <w:szCs w:val="24"/>
              </w:rPr>
              <w:t>end-users</w:t>
            </w:r>
            <w:proofErr w:type="gramEnd"/>
            <w:r w:rsidRPr="00FB6017">
              <w:rPr>
                <w:rFonts w:ascii="Arial" w:hAnsi="Arial" w:cs="Arial"/>
                <w:color w:val="000000" w:themeColor="text1"/>
                <w:sz w:val="24"/>
                <w:szCs w:val="24"/>
              </w:rPr>
              <w:t xml:space="preserve"> participation in achieving RE targets;</w:t>
            </w:r>
          </w:p>
          <w:p w14:paraId="0E7B816F" w14:textId="77777777" w:rsidR="00DD5F92" w:rsidRPr="00FB6017" w:rsidRDefault="00DD5F92" w:rsidP="00DD5F92">
            <w:pPr>
              <w:tabs>
                <w:tab w:val="left" w:pos="284"/>
                <w:tab w:val="left" w:pos="567"/>
                <w:tab w:val="left" w:pos="851"/>
                <w:tab w:val="left" w:pos="1134"/>
              </w:tabs>
              <w:contextualSpacing/>
              <w:jc w:val="both"/>
              <w:rPr>
                <w:rFonts w:ascii="Arial" w:hAnsi="Arial" w:cs="Arial"/>
                <w:color w:val="000000" w:themeColor="text1"/>
                <w:sz w:val="24"/>
                <w:szCs w:val="24"/>
              </w:rPr>
            </w:pPr>
          </w:p>
          <w:p w14:paraId="33213A99" w14:textId="77777777" w:rsidR="00DD5F92" w:rsidRDefault="00DD5F92" w:rsidP="00DD5F92">
            <w:pPr>
              <w:tabs>
                <w:tab w:val="left" w:pos="284"/>
                <w:tab w:val="left" w:pos="567"/>
                <w:tab w:val="left" w:pos="851"/>
                <w:tab w:val="left" w:pos="1134"/>
              </w:tabs>
              <w:contextualSpacing/>
              <w:jc w:val="both"/>
              <w:rPr>
                <w:rFonts w:ascii="Arial" w:hAnsi="Arial" w:cs="Arial"/>
                <w:color w:val="000000" w:themeColor="text1"/>
                <w:sz w:val="24"/>
                <w:szCs w:val="24"/>
              </w:rPr>
            </w:pPr>
            <w:r w:rsidRPr="00FB6017">
              <w:rPr>
                <w:rFonts w:ascii="Arial" w:hAnsi="Arial" w:cs="Arial"/>
                <w:b/>
                <w:bCs/>
                <w:color w:val="000000" w:themeColor="text1"/>
                <w:sz w:val="24"/>
                <w:szCs w:val="24"/>
              </w:rPr>
              <w:t>NOW, THEREFORE</w:t>
            </w:r>
            <w:r w:rsidRPr="00FB6017">
              <w:rPr>
                <w:rFonts w:ascii="Arial" w:hAnsi="Arial" w:cs="Arial"/>
                <w:color w:val="000000" w:themeColor="text1"/>
                <w:sz w:val="24"/>
                <w:szCs w:val="24"/>
              </w:rPr>
              <w:t>, in consideration of the foregoing, the DOE hereby issues and promulgates the following policies for the enhancements and effective implementation of the Net-Metering and RE programs:</w:t>
            </w:r>
          </w:p>
          <w:p w14:paraId="6B863B93" w14:textId="77777777" w:rsidR="00DD5F92" w:rsidRDefault="00DD5F92" w:rsidP="00F66803">
            <w:pPr>
              <w:jc w:val="center"/>
              <w:rPr>
                <w:b/>
              </w:rPr>
            </w:pPr>
          </w:p>
          <w:p w14:paraId="2EA7B8D4" w14:textId="4A9B3E04" w:rsidR="00DD5F92" w:rsidRPr="00F66803" w:rsidRDefault="00DD5F92" w:rsidP="00F66803">
            <w:pPr>
              <w:jc w:val="center"/>
              <w:rPr>
                <w:rFonts w:ascii="Arial" w:hAnsi="Arial" w:cs="Arial"/>
                <w:b/>
                <w:sz w:val="24"/>
                <w:szCs w:val="24"/>
              </w:rPr>
            </w:pPr>
          </w:p>
        </w:tc>
        <w:tc>
          <w:tcPr>
            <w:tcW w:w="4255" w:type="dxa"/>
          </w:tcPr>
          <w:p w14:paraId="736A791A" w14:textId="77777777" w:rsidR="009D41CC" w:rsidRPr="008F428F" w:rsidRDefault="009D41CC" w:rsidP="00040EFE">
            <w:pPr>
              <w:jc w:val="center"/>
              <w:rPr>
                <w:rFonts w:ascii="Arial" w:hAnsi="Arial" w:cs="Arial"/>
                <w:b/>
                <w:bCs/>
                <w:sz w:val="28"/>
                <w:szCs w:val="28"/>
              </w:rPr>
            </w:pPr>
          </w:p>
        </w:tc>
        <w:tc>
          <w:tcPr>
            <w:tcW w:w="3683" w:type="dxa"/>
          </w:tcPr>
          <w:p w14:paraId="56B4BD59" w14:textId="77777777" w:rsidR="009D41CC" w:rsidRPr="008F428F" w:rsidRDefault="009D41CC" w:rsidP="00040EFE">
            <w:pPr>
              <w:jc w:val="center"/>
              <w:rPr>
                <w:rFonts w:ascii="Arial" w:hAnsi="Arial" w:cs="Arial"/>
                <w:b/>
                <w:bCs/>
                <w:sz w:val="28"/>
                <w:szCs w:val="28"/>
              </w:rPr>
            </w:pPr>
          </w:p>
        </w:tc>
      </w:tr>
      <w:tr w:rsidR="009E602F" w:rsidRPr="003557F9" w14:paraId="0E5A33FF" w14:textId="77777777" w:rsidTr="003D7D89">
        <w:trPr>
          <w:trHeight w:val="262"/>
        </w:trPr>
        <w:tc>
          <w:tcPr>
            <w:tcW w:w="6799" w:type="dxa"/>
          </w:tcPr>
          <w:p w14:paraId="263C62B2" w14:textId="77777777" w:rsidR="00F66803" w:rsidRPr="00FB6017" w:rsidRDefault="00F66803" w:rsidP="00F66803">
            <w:pPr>
              <w:autoSpaceDE w:val="0"/>
              <w:autoSpaceDN w:val="0"/>
              <w:adjustRightInd w:val="0"/>
              <w:jc w:val="both"/>
              <w:rPr>
                <w:rFonts w:ascii="Arial" w:hAnsi="Arial" w:cs="Arial"/>
                <w:bCs/>
                <w:color w:val="000000" w:themeColor="text1"/>
                <w:sz w:val="24"/>
                <w:szCs w:val="24"/>
              </w:rPr>
            </w:pPr>
            <w:r w:rsidRPr="00FB6017">
              <w:rPr>
                <w:rFonts w:ascii="Arial" w:hAnsi="Arial" w:cs="Arial"/>
                <w:b/>
                <w:color w:val="000000" w:themeColor="text1"/>
                <w:sz w:val="24"/>
                <w:szCs w:val="24"/>
              </w:rPr>
              <w:lastRenderedPageBreak/>
              <w:t>Section 1. REC Ownership.</w:t>
            </w:r>
            <w:r>
              <w:rPr>
                <w:rFonts w:ascii="Arial" w:hAnsi="Arial" w:cs="Arial"/>
                <w:bCs/>
                <w:color w:val="000000" w:themeColor="text1"/>
                <w:sz w:val="24"/>
                <w:szCs w:val="24"/>
              </w:rPr>
              <w:t xml:space="preserve"> </w:t>
            </w:r>
            <w:r w:rsidRPr="00FB6017">
              <w:rPr>
                <w:rFonts w:ascii="Arial" w:hAnsi="Arial" w:cs="Arial"/>
                <w:bCs/>
                <w:color w:val="000000" w:themeColor="text1"/>
                <w:sz w:val="24"/>
                <w:szCs w:val="24"/>
              </w:rPr>
              <w:t>In relation to the implementation of Section 15 of DC2017-12-0015 (RPS), the use of Renewable Energy Certificates (RECs) from Net Metering arrangements shall be as follows:</w:t>
            </w:r>
          </w:p>
          <w:p w14:paraId="75A30C32" w14:textId="77777777" w:rsidR="00F66803" w:rsidRDefault="00F66803" w:rsidP="00F6680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contextualSpacing/>
              <w:jc w:val="both"/>
              <w:rPr>
                <w:rFonts w:ascii="Arial" w:hAnsi="Arial" w:cs="Arial"/>
                <w:bCs/>
                <w:color w:val="000000" w:themeColor="text1"/>
              </w:rPr>
            </w:pPr>
            <w:proofErr w:type="gramStart"/>
            <w:r w:rsidRPr="00FB6017">
              <w:rPr>
                <w:rFonts w:ascii="Arial" w:hAnsi="Arial" w:cs="Arial"/>
                <w:bCs/>
                <w:color w:val="000000" w:themeColor="text1"/>
              </w:rPr>
              <w:t>Own</w:t>
            </w:r>
            <w:proofErr w:type="gramEnd"/>
            <w:r w:rsidRPr="00FB6017">
              <w:rPr>
                <w:rFonts w:ascii="Arial" w:hAnsi="Arial" w:cs="Arial"/>
                <w:bCs/>
                <w:color w:val="000000" w:themeColor="text1"/>
              </w:rPr>
              <w:t xml:space="preserve"> use from Net Metering arrangements shall be allocated to the Qualified End-User.</w:t>
            </w:r>
          </w:p>
          <w:p w14:paraId="0B17C996" w14:textId="77777777" w:rsidR="00F66803" w:rsidRPr="00FB6017" w:rsidRDefault="00F66803" w:rsidP="00F66803">
            <w:pPr>
              <w:pStyle w:val="ListParagraph"/>
              <w:autoSpaceDE w:val="0"/>
              <w:adjustRightInd w:val="0"/>
              <w:ind w:left="360"/>
              <w:contextualSpacing/>
              <w:jc w:val="both"/>
              <w:rPr>
                <w:rFonts w:ascii="Arial" w:hAnsi="Arial" w:cs="Arial"/>
                <w:bCs/>
                <w:color w:val="000000" w:themeColor="text1"/>
              </w:rPr>
            </w:pPr>
          </w:p>
          <w:p w14:paraId="2A9D36DE" w14:textId="77777777" w:rsidR="00F66803" w:rsidRDefault="00F66803" w:rsidP="00F6680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contextualSpacing/>
              <w:jc w:val="both"/>
              <w:rPr>
                <w:rFonts w:ascii="Arial" w:hAnsi="Arial" w:cs="Arial"/>
                <w:bCs/>
                <w:color w:val="000000" w:themeColor="text1"/>
              </w:rPr>
            </w:pPr>
            <w:r w:rsidRPr="00FB6017">
              <w:rPr>
                <w:rFonts w:ascii="Arial" w:hAnsi="Arial" w:cs="Arial"/>
                <w:bCs/>
                <w:color w:val="000000" w:themeColor="text1"/>
              </w:rPr>
              <w:t>Exported energy from Net Metering arrangements shall be allocated to the DU.</w:t>
            </w:r>
          </w:p>
          <w:p w14:paraId="6C4E9F0A" w14:textId="77777777" w:rsidR="00F66803" w:rsidRPr="00FB6017" w:rsidRDefault="00F66803" w:rsidP="00F66803">
            <w:pPr>
              <w:pStyle w:val="ListParagraph"/>
              <w:autoSpaceDE w:val="0"/>
              <w:adjustRightInd w:val="0"/>
              <w:ind w:left="360"/>
              <w:contextualSpacing/>
              <w:jc w:val="both"/>
              <w:rPr>
                <w:rFonts w:ascii="Arial" w:hAnsi="Arial" w:cs="Arial"/>
                <w:bCs/>
                <w:color w:val="000000" w:themeColor="text1"/>
              </w:rPr>
            </w:pPr>
          </w:p>
          <w:p w14:paraId="1F382BE9" w14:textId="77777777" w:rsidR="00F66803" w:rsidRPr="00FB6017" w:rsidRDefault="00F66803" w:rsidP="00F66803">
            <w:pPr>
              <w:pStyle w:val="ListParagraph"/>
              <w:autoSpaceDE w:val="0"/>
              <w:adjustRightInd w:val="0"/>
              <w:ind w:left="360"/>
              <w:jc w:val="both"/>
              <w:rPr>
                <w:rFonts w:ascii="Arial" w:hAnsi="Arial" w:cs="Arial"/>
                <w:bCs/>
                <w:color w:val="000000" w:themeColor="text1"/>
              </w:rPr>
            </w:pPr>
            <w:r w:rsidRPr="00FB6017">
              <w:rPr>
                <w:rFonts w:ascii="Arial" w:hAnsi="Arial" w:cs="Arial"/>
                <w:bCs/>
                <w:color w:val="000000" w:themeColor="text1"/>
              </w:rPr>
              <w:t>Exported energy shall be included in the Net Electricity Sales of the DU for the calculation of its Renewable Portfolio Standards (RPS) requirement.</w:t>
            </w:r>
          </w:p>
          <w:p w14:paraId="4D491FC9" w14:textId="70BD7ABD" w:rsidR="009E602F" w:rsidRPr="00F66803" w:rsidRDefault="009E602F" w:rsidP="00BE1E94">
            <w:pPr>
              <w:jc w:val="both"/>
              <w:rPr>
                <w:rFonts w:ascii="Arial" w:hAnsi="Arial" w:cs="Arial"/>
                <w:color w:val="FF0000"/>
                <w:sz w:val="24"/>
                <w:szCs w:val="24"/>
                <w:lang w:val="en-US"/>
              </w:rPr>
            </w:pPr>
          </w:p>
        </w:tc>
        <w:tc>
          <w:tcPr>
            <w:tcW w:w="4255" w:type="dxa"/>
          </w:tcPr>
          <w:p w14:paraId="09552FF3" w14:textId="77777777" w:rsidR="009E602F" w:rsidRPr="003557F9" w:rsidRDefault="009E602F" w:rsidP="00040EFE">
            <w:pPr>
              <w:jc w:val="center"/>
              <w:rPr>
                <w:rFonts w:ascii="Arial" w:hAnsi="Arial" w:cs="Arial"/>
                <w:b/>
                <w:bCs/>
                <w:sz w:val="24"/>
                <w:szCs w:val="24"/>
              </w:rPr>
            </w:pPr>
          </w:p>
        </w:tc>
        <w:tc>
          <w:tcPr>
            <w:tcW w:w="3683" w:type="dxa"/>
          </w:tcPr>
          <w:p w14:paraId="241D2D29" w14:textId="77777777" w:rsidR="009E602F" w:rsidRPr="003557F9" w:rsidRDefault="009E602F" w:rsidP="00040EFE">
            <w:pPr>
              <w:jc w:val="center"/>
              <w:rPr>
                <w:rFonts w:ascii="Arial" w:hAnsi="Arial" w:cs="Arial"/>
                <w:b/>
                <w:bCs/>
                <w:sz w:val="24"/>
                <w:szCs w:val="24"/>
              </w:rPr>
            </w:pPr>
          </w:p>
        </w:tc>
      </w:tr>
      <w:tr w:rsidR="00E85B0B" w:rsidRPr="003557F9" w14:paraId="62888F61" w14:textId="77777777" w:rsidTr="003D7D89">
        <w:trPr>
          <w:trHeight w:val="262"/>
        </w:trPr>
        <w:tc>
          <w:tcPr>
            <w:tcW w:w="6799" w:type="dxa"/>
          </w:tcPr>
          <w:p w14:paraId="6E8A7771" w14:textId="77777777" w:rsidR="00F66803" w:rsidRDefault="00F66803" w:rsidP="00F66803">
            <w:pPr>
              <w:autoSpaceDE w:val="0"/>
              <w:autoSpaceDN w:val="0"/>
              <w:adjustRightInd w:val="0"/>
              <w:contextualSpacing/>
              <w:jc w:val="both"/>
              <w:rPr>
                <w:rFonts w:ascii="Arial" w:hAnsi="Arial" w:cs="Arial"/>
                <w:bCs/>
                <w:color w:val="000000" w:themeColor="text1"/>
                <w:sz w:val="24"/>
                <w:szCs w:val="24"/>
                <w:lang w:eastAsia="en-PH"/>
              </w:rPr>
            </w:pPr>
            <w:r w:rsidRPr="00FB6017">
              <w:rPr>
                <w:rFonts w:ascii="Arial" w:hAnsi="Arial" w:cs="Arial"/>
                <w:b/>
                <w:color w:val="000000" w:themeColor="text1"/>
                <w:sz w:val="24"/>
                <w:szCs w:val="24"/>
              </w:rPr>
              <w:t xml:space="preserve">Section 2. Trading. </w:t>
            </w:r>
            <w:r w:rsidRPr="00FB6017">
              <w:rPr>
                <w:rFonts w:ascii="Arial" w:hAnsi="Arial" w:cs="Arial"/>
                <w:bCs/>
                <w:color w:val="000000" w:themeColor="text1"/>
                <w:sz w:val="24"/>
                <w:szCs w:val="24"/>
              </w:rPr>
              <w:t xml:space="preserve">RECs, whether from own use or exported energy from Net Metering arrangements, may be sold or traded </w:t>
            </w:r>
            <w:r w:rsidRPr="00FB6017">
              <w:rPr>
                <w:rFonts w:ascii="Arial" w:hAnsi="Arial" w:cs="Arial"/>
                <w:bCs/>
                <w:color w:val="000000" w:themeColor="text1"/>
                <w:sz w:val="24"/>
                <w:szCs w:val="24"/>
              </w:rPr>
              <w:lastRenderedPageBreak/>
              <w:t xml:space="preserve">through the </w:t>
            </w:r>
            <w:r w:rsidRPr="00FB6017">
              <w:rPr>
                <w:rFonts w:ascii="Arial" w:hAnsi="Arial" w:cs="Arial"/>
                <w:bCs/>
                <w:color w:val="000000" w:themeColor="text1"/>
                <w:sz w:val="24"/>
                <w:szCs w:val="24"/>
                <w:lang w:eastAsia="en-PH"/>
              </w:rPr>
              <w:t>Renewable Energy Market (REM) or other equivalent markets as may be specified by the DOE through the issuance of subsequent policies and guidelines.</w:t>
            </w:r>
          </w:p>
          <w:p w14:paraId="5ABD15DF" w14:textId="6CA8727B" w:rsidR="00E85B0B" w:rsidRPr="00F66803" w:rsidRDefault="00E85B0B" w:rsidP="00BE1E94">
            <w:pPr>
              <w:jc w:val="both"/>
              <w:rPr>
                <w:rFonts w:ascii="Arial" w:hAnsi="Arial" w:cs="Arial"/>
                <w:color w:val="FF0000"/>
                <w:sz w:val="24"/>
                <w:szCs w:val="24"/>
              </w:rPr>
            </w:pPr>
          </w:p>
        </w:tc>
        <w:tc>
          <w:tcPr>
            <w:tcW w:w="4255" w:type="dxa"/>
          </w:tcPr>
          <w:p w14:paraId="22FD0267" w14:textId="77777777" w:rsidR="00E85B0B" w:rsidRPr="003557F9" w:rsidRDefault="00E85B0B" w:rsidP="00040EFE">
            <w:pPr>
              <w:jc w:val="center"/>
              <w:rPr>
                <w:rFonts w:ascii="Arial" w:hAnsi="Arial" w:cs="Arial"/>
                <w:b/>
                <w:bCs/>
                <w:sz w:val="24"/>
                <w:szCs w:val="24"/>
              </w:rPr>
            </w:pPr>
          </w:p>
        </w:tc>
        <w:tc>
          <w:tcPr>
            <w:tcW w:w="3683" w:type="dxa"/>
          </w:tcPr>
          <w:p w14:paraId="5F51DC98" w14:textId="77777777" w:rsidR="00E85B0B" w:rsidRPr="003557F9" w:rsidRDefault="00E85B0B" w:rsidP="00040EFE">
            <w:pPr>
              <w:jc w:val="center"/>
              <w:rPr>
                <w:rFonts w:ascii="Arial" w:hAnsi="Arial" w:cs="Arial"/>
                <w:b/>
                <w:bCs/>
                <w:sz w:val="24"/>
                <w:szCs w:val="24"/>
              </w:rPr>
            </w:pPr>
          </w:p>
        </w:tc>
      </w:tr>
      <w:tr w:rsidR="00E85B0B" w:rsidRPr="003557F9" w14:paraId="267B3404" w14:textId="77777777" w:rsidTr="003D7D89">
        <w:trPr>
          <w:trHeight w:val="262"/>
        </w:trPr>
        <w:tc>
          <w:tcPr>
            <w:tcW w:w="6799" w:type="dxa"/>
          </w:tcPr>
          <w:p w14:paraId="50DAC42E" w14:textId="77777777" w:rsidR="00F66803" w:rsidRDefault="00F66803" w:rsidP="00F66803">
            <w:pPr>
              <w:contextualSpacing/>
              <w:jc w:val="both"/>
              <w:rPr>
                <w:rFonts w:ascii="Arial" w:hAnsi="Arial" w:cs="Arial"/>
                <w:b/>
                <w:color w:val="000000" w:themeColor="text1"/>
                <w:sz w:val="24"/>
                <w:szCs w:val="24"/>
              </w:rPr>
            </w:pPr>
            <w:r w:rsidRPr="00FB6017">
              <w:rPr>
                <w:rFonts w:ascii="Arial" w:hAnsi="Arial" w:cs="Arial"/>
                <w:b/>
                <w:color w:val="000000" w:themeColor="text1"/>
                <w:sz w:val="24"/>
                <w:szCs w:val="24"/>
              </w:rPr>
              <w:t>Section 3. Multi-Site and Aggregate Net-Metering.</w:t>
            </w:r>
          </w:p>
          <w:p w14:paraId="73A4EC67" w14:textId="77777777" w:rsidR="00F66803" w:rsidRPr="00FB6017" w:rsidRDefault="00F66803" w:rsidP="00F66803">
            <w:pPr>
              <w:contextualSpacing/>
              <w:jc w:val="both"/>
              <w:rPr>
                <w:rFonts w:ascii="Arial" w:hAnsi="Arial" w:cs="Arial"/>
                <w:b/>
                <w:color w:val="000000" w:themeColor="text1"/>
                <w:sz w:val="24"/>
                <w:szCs w:val="24"/>
              </w:rPr>
            </w:pPr>
          </w:p>
          <w:p w14:paraId="190E2780" w14:textId="77777777" w:rsidR="00F66803" w:rsidRDefault="00F66803" w:rsidP="00F66803">
            <w:pPr>
              <w:ind w:left="576" w:hanging="576"/>
              <w:contextualSpacing/>
              <w:jc w:val="both"/>
              <w:rPr>
                <w:rFonts w:ascii="Arial" w:hAnsi="Arial" w:cs="Arial"/>
                <w:bCs/>
                <w:color w:val="000000" w:themeColor="text1"/>
                <w:sz w:val="24"/>
                <w:szCs w:val="24"/>
              </w:rPr>
            </w:pPr>
            <w:r w:rsidRPr="00FB6017">
              <w:rPr>
                <w:rFonts w:ascii="Arial" w:hAnsi="Arial" w:cs="Arial"/>
                <w:bCs/>
                <w:color w:val="000000" w:themeColor="text1"/>
                <w:sz w:val="24"/>
                <w:szCs w:val="24"/>
              </w:rPr>
              <w:t>3.1.</w:t>
            </w:r>
            <w:r w:rsidRPr="00FB6017">
              <w:rPr>
                <w:rFonts w:ascii="Arial" w:hAnsi="Arial" w:cs="Arial"/>
                <w:bCs/>
                <w:sz w:val="24"/>
                <w:szCs w:val="24"/>
              </w:rPr>
              <w:t xml:space="preserve"> </w:t>
            </w:r>
            <w:r w:rsidRPr="00FB6017">
              <w:rPr>
                <w:rFonts w:ascii="Arial" w:hAnsi="Arial" w:cs="Arial"/>
                <w:bCs/>
                <w:color w:val="000000" w:themeColor="text1"/>
                <w:sz w:val="24"/>
                <w:szCs w:val="24"/>
              </w:rPr>
              <w:tab/>
              <w:t xml:space="preserve">A Qualified End-User may share or distribute excess Net Metering Credit to other electricity accounts: Provided, </w:t>
            </w:r>
            <w:proofErr w:type="gramStart"/>
            <w:r w:rsidRPr="00FB6017">
              <w:rPr>
                <w:rFonts w:ascii="Arial" w:hAnsi="Arial" w:cs="Arial"/>
                <w:bCs/>
                <w:color w:val="000000" w:themeColor="text1"/>
                <w:sz w:val="24"/>
                <w:szCs w:val="24"/>
              </w:rPr>
              <w:t>That</w:t>
            </w:r>
            <w:proofErr w:type="gramEnd"/>
            <w:r w:rsidRPr="00FB6017">
              <w:rPr>
                <w:rFonts w:ascii="Arial" w:hAnsi="Arial" w:cs="Arial"/>
                <w:bCs/>
                <w:color w:val="000000" w:themeColor="text1"/>
                <w:sz w:val="24"/>
                <w:szCs w:val="24"/>
              </w:rPr>
              <w:t xml:space="preserve"> such electricity accounts are also registered under the said Qualified End-User within the same DU.</w:t>
            </w:r>
          </w:p>
          <w:p w14:paraId="4F0E2B8C" w14:textId="77777777" w:rsidR="00F66803" w:rsidRPr="00FB6017" w:rsidRDefault="00F66803" w:rsidP="00F66803">
            <w:pPr>
              <w:ind w:left="576" w:hanging="576"/>
              <w:contextualSpacing/>
              <w:jc w:val="both"/>
              <w:rPr>
                <w:rFonts w:ascii="Arial" w:hAnsi="Arial" w:cs="Arial"/>
                <w:bCs/>
                <w:color w:val="000000" w:themeColor="text1"/>
                <w:sz w:val="24"/>
                <w:szCs w:val="24"/>
              </w:rPr>
            </w:pPr>
          </w:p>
          <w:p w14:paraId="6DA96FBA" w14:textId="77777777" w:rsidR="00F66803" w:rsidRDefault="00F66803" w:rsidP="00F66803">
            <w:pPr>
              <w:ind w:left="576" w:hanging="576"/>
              <w:contextualSpacing/>
              <w:jc w:val="both"/>
              <w:rPr>
                <w:rFonts w:ascii="Arial" w:hAnsi="Arial" w:cs="Arial"/>
                <w:bCs/>
                <w:color w:val="000000" w:themeColor="text1"/>
                <w:sz w:val="24"/>
                <w:szCs w:val="24"/>
              </w:rPr>
            </w:pPr>
            <w:r w:rsidRPr="00FB6017">
              <w:rPr>
                <w:rFonts w:ascii="Arial" w:hAnsi="Arial" w:cs="Arial"/>
                <w:bCs/>
                <w:color w:val="000000" w:themeColor="text1"/>
                <w:sz w:val="24"/>
                <w:szCs w:val="24"/>
              </w:rPr>
              <w:t>3.2.</w:t>
            </w:r>
            <w:r w:rsidRPr="00FB6017">
              <w:rPr>
                <w:rFonts w:ascii="Arial" w:hAnsi="Arial" w:cs="Arial"/>
                <w:bCs/>
                <w:sz w:val="24"/>
                <w:szCs w:val="24"/>
              </w:rPr>
              <w:t xml:space="preserve"> </w:t>
            </w:r>
            <w:r w:rsidRPr="00FB6017">
              <w:rPr>
                <w:rFonts w:ascii="Arial" w:hAnsi="Arial" w:cs="Arial"/>
                <w:bCs/>
                <w:color w:val="000000" w:themeColor="text1"/>
                <w:sz w:val="24"/>
                <w:szCs w:val="24"/>
              </w:rPr>
              <w:tab/>
              <w:t xml:space="preserve">DUs shall enable Net Metering Credit allocation between or among multiple electricity accounts using appropriate technology, which may include advanced metering infrastructure (AMI) and digital tracking systems. </w:t>
            </w:r>
          </w:p>
          <w:p w14:paraId="1830128E" w14:textId="77777777" w:rsidR="00F66803" w:rsidRPr="00FB6017" w:rsidRDefault="00F66803" w:rsidP="00F66803">
            <w:pPr>
              <w:ind w:left="576" w:hanging="576"/>
              <w:contextualSpacing/>
              <w:jc w:val="both"/>
              <w:rPr>
                <w:rFonts w:ascii="Arial" w:hAnsi="Arial" w:cs="Arial"/>
                <w:bCs/>
                <w:color w:val="000000" w:themeColor="text1"/>
                <w:sz w:val="24"/>
                <w:szCs w:val="24"/>
              </w:rPr>
            </w:pPr>
          </w:p>
          <w:p w14:paraId="07449F4A" w14:textId="77777777" w:rsidR="00F66803" w:rsidRPr="00FB6017" w:rsidRDefault="00F66803" w:rsidP="00F66803">
            <w:pPr>
              <w:contextualSpacing/>
              <w:jc w:val="both"/>
              <w:rPr>
                <w:rFonts w:ascii="Arial" w:hAnsi="Arial" w:cs="Arial"/>
                <w:bCs/>
                <w:sz w:val="24"/>
                <w:szCs w:val="24"/>
              </w:rPr>
            </w:pPr>
            <w:r w:rsidRPr="00FB6017">
              <w:rPr>
                <w:rFonts w:ascii="Arial" w:hAnsi="Arial" w:cs="Arial"/>
                <w:bCs/>
                <w:sz w:val="24"/>
                <w:szCs w:val="24"/>
              </w:rPr>
              <w:t>“Net-Metering Credit” refers to an amount in peso from net energy exported into the Distribution System by a Qualified End-User.</w:t>
            </w:r>
          </w:p>
          <w:p w14:paraId="120C8D29" w14:textId="02DA397B" w:rsidR="00FD111F" w:rsidRPr="00F66803" w:rsidRDefault="00FD111F" w:rsidP="00BE1E94">
            <w:pPr>
              <w:jc w:val="both"/>
              <w:rPr>
                <w:rFonts w:ascii="Arial" w:hAnsi="Arial" w:cs="Arial"/>
                <w:color w:val="FF0000"/>
                <w:sz w:val="24"/>
                <w:szCs w:val="24"/>
              </w:rPr>
            </w:pPr>
          </w:p>
        </w:tc>
        <w:tc>
          <w:tcPr>
            <w:tcW w:w="4255" w:type="dxa"/>
          </w:tcPr>
          <w:p w14:paraId="06901A97" w14:textId="77777777" w:rsidR="00E85B0B" w:rsidRPr="003557F9" w:rsidRDefault="00E85B0B" w:rsidP="00040EFE">
            <w:pPr>
              <w:jc w:val="center"/>
              <w:rPr>
                <w:rFonts w:ascii="Arial" w:hAnsi="Arial" w:cs="Arial"/>
                <w:b/>
                <w:bCs/>
                <w:sz w:val="24"/>
                <w:szCs w:val="24"/>
              </w:rPr>
            </w:pPr>
          </w:p>
        </w:tc>
        <w:tc>
          <w:tcPr>
            <w:tcW w:w="3683" w:type="dxa"/>
          </w:tcPr>
          <w:p w14:paraId="6158CB46" w14:textId="77777777" w:rsidR="00E85B0B" w:rsidRPr="003557F9" w:rsidRDefault="00E85B0B" w:rsidP="00040EFE">
            <w:pPr>
              <w:jc w:val="center"/>
              <w:rPr>
                <w:rFonts w:ascii="Arial" w:hAnsi="Arial" w:cs="Arial"/>
                <w:b/>
                <w:bCs/>
                <w:sz w:val="24"/>
                <w:szCs w:val="24"/>
              </w:rPr>
            </w:pPr>
          </w:p>
        </w:tc>
      </w:tr>
      <w:tr w:rsidR="00A53E88" w:rsidRPr="003557F9" w14:paraId="75A3DC6C" w14:textId="77777777" w:rsidTr="003D7D89">
        <w:trPr>
          <w:trHeight w:val="262"/>
        </w:trPr>
        <w:tc>
          <w:tcPr>
            <w:tcW w:w="6799" w:type="dxa"/>
          </w:tcPr>
          <w:p w14:paraId="36A87353" w14:textId="77777777" w:rsidR="00F66803" w:rsidRDefault="00F66803" w:rsidP="00F66803">
            <w:pPr>
              <w:contextualSpacing/>
              <w:jc w:val="both"/>
              <w:rPr>
                <w:rFonts w:ascii="Arial" w:hAnsi="Arial" w:cs="Arial"/>
                <w:sz w:val="24"/>
                <w:szCs w:val="24"/>
              </w:rPr>
            </w:pPr>
            <w:r w:rsidRPr="00FB6017">
              <w:rPr>
                <w:rFonts w:ascii="Arial" w:hAnsi="Arial" w:cs="Arial"/>
                <w:b/>
                <w:bCs/>
                <w:sz w:val="24"/>
                <w:szCs w:val="24"/>
              </w:rPr>
              <w:t>Section 4. Regulatory Support.</w:t>
            </w:r>
            <w:r w:rsidRPr="00FB6017">
              <w:rPr>
                <w:rFonts w:ascii="Arial" w:hAnsi="Arial" w:cs="Arial"/>
                <w:sz w:val="24"/>
                <w:szCs w:val="24"/>
              </w:rPr>
              <w:t xml:space="preserve"> The ERC is enjoined to issue necessary regulatory provisions for the implementation of the abovementioned policies.</w:t>
            </w:r>
          </w:p>
          <w:p w14:paraId="47DDD385" w14:textId="77777777" w:rsidR="00A53E88" w:rsidRPr="00F66803" w:rsidRDefault="00A53E88" w:rsidP="00BE1E94">
            <w:pPr>
              <w:jc w:val="both"/>
              <w:rPr>
                <w:rFonts w:ascii="Arial" w:hAnsi="Arial" w:cs="Arial"/>
                <w:color w:val="FF0000"/>
                <w:sz w:val="24"/>
                <w:szCs w:val="24"/>
              </w:rPr>
            </w:pPr>
          </w:p>
        </w:tc>
        <w:tc>
          <w:tcPr>
            <w:tcW w:w="4255" w:type="dxa"/>
          </w:tcPr>
          <w:p w14:paraId="2408753A" w14:textId="77777777" w:rsidR="00A53E88" w:rsidRPr="003557F9" w:rsidRDefault="00A53E88" w:rsidP="00040EFE">
            <w:pPr>
              <w:jc w:val="center"/>
              <w:rPr>
                <w:rFonts w:ascii="Arial" w:hAnsi="Arial" w:cs="Arial"/>
                <w:b/>
                <w:bCs/>
                <w:sz w:val="24"/>
                <w:szCs w:val="24"/>
              </w:rPr>
            </w:pPr>
          </w:p>
        </w:tc>
        <w:tc>
          <w:tcPr>
            <w:tcW w:w="3683" w:type="dxa"/>
          </w:tcPr>
          <w:p w14:paraId="7385F8BA" w14:textId="77777777" w:rsidR="00A53E88" w:rsidRPr="003557F9" w:rsidRDefault="00A53E88" w:rsidP="00040EFE">
            <w:pPr>
              <w:jc w:val="center"/>
              <w:rPr>
                <w:rFonts w:ascii="Arial" w:hAnsi="Arial" w:cs="Arial"/>
                <w:b/>
                <w:bCs/>
                <w:sz w:val="24"/>
                <w:szCs w:val="24"/>
              </w:rPr>
            </w:pPr>
          </w:p>
        </w:tc>
      </w:tr>
      <w:tr w:rsidR="00A53E88" w:rsidRPr="003557F9" w14:paraId="6C0FD0EE" w14:textId="77777777" w:rsidTr="003D7D89">
        <w:trPr>
          <w:trHeight w:val="262"/>
        </w:trPr>
        <w:tc>
          <w:tcPr>
            <w:tcW w:w="6799" w:type="dxa"/>
          </w:tcPr>
          <w:p w14:paraId="67EC3782" w14:textId="77777777" w:rsidR="00F66803" w:rsidRDefault="00F66803" w:rsidP="00F66803">
            <w:pPr>
              <w:contextualSpacing/>
              <w:jc w:val="both"/>
              <w:rPr>
                <w:rFonts w:ascii="Arial" w:hAnsi="Arial" w:cs="Arial"/>
                <w:sz w:val="24"/>
                <w:szCs w:val="24"/>
              </w:rPr>
            </w:pPr>
            <w:r w:rsidRPr="00FB6017">
              <w:rPr>
                <w:rFonts w:ascii="Arial" w:hAnsi="Arial" w:cs="Arial"/>
                <w:b/>
                <w:bCs/>
                <w:sz w:val="24"/>
                <w:szCs w:val="24"/>
              </w:rPr>
              <w:t>Section 5. Separability Clause.</w:t>
            </w:r>
            <w:r w:rsidRPr="00FB6017">
              <w:rPr>
                <w:rFonts w:ascii="Arial" w:hAnsi="Arial" w:cs="Arial"/>
                <w:sz w:val="24"/>
                <w:szCs w:val="24"/>
              </w:rPr>
              <w:t xml:space="preserve">  If any provision of this Circular is declared invalid or unconstitutional, the other provisions not affected thereby shall remain valid and subsisting.</w:t>
            </w:r>
          </w:p>
          <w:p w14:paraId="112E39F6" w14:textId="77777777" w:rsidR="00A53E88" w:rsidRPr="00F66803" w:rsidRDefault="00A53E88" w:rsidP="00BE1E94">
            <w:pPr>
              <w:jc w:val="both"/>
              <w:rPr>
                <w:rFonts w:ascii="Arial" w:hAnsi="Arial" w:cs="Arial"/>
                <w:color w:val="FF0000"/>
                <w:sz w:val="24"/>
                <w:szCs w:val="24"/>
              </w:rPr>
            </w:pPr>
          </w:p>
        </w:tc>
        <w:tc>
          <w:tcPr>
            <w:tcW w:w="4255" w:type="dxa"/>
          </w:tcPr>
          <w:p w14:paraId="35725966" w14:textId="77777777" w:rsidR="00A53E88" w:rsidRPr="003557F9" w:rsidRDefault="00A53E88" w:rsidP="00040EFE">
            <w:pPr>
              <w:jc w:val="center"/>
              <w:rPr>
                <w:rFonts w:ascii="Arial" w:hAnsi="Arial" w:cs="Arial"/>
                <w:b/>
                <w:bCs/>
                <w:sz w:val="24"/>
                <w:szCs w:val="24"/>
              </w:rPr>
            </w:pPr>
          </w:p>
        </w:tc>
        <w:tc>
          <w:tcPr>
            <w:tcW w:w="3683" w:type="dxa"/>
          </w:tcPr>
          <w:p w14:paraId="7EDC7F62" w14:textId="77777777" w:rsidR="00A53E88" w:rsidRPr="003557F9" w:rsidRDefault="00A53E88" w:rsidP="00040EFE">
            <w:pPr>
              <w:jc w:val="center"/>
              <w:rPr>
                <w:rFonts w:ascii="Arial" w:hAnsi="Arial" w:cs="Arial"/>
                <w:b/>
                <w:bCs/>
                <w:sz w:val="24"/>
                <w:szCs w:val="24"/>
              </w:rPr>
            </w:pPr>
          </w:p>
        </w:tc>
      </w:tr>
      <w:tr w:rsidR="00A53E88" w:rsidRPr="003557F9" w14:paraId="6851EA71" w14:textId="77777777" w:rsidTr="003D7D89">
        <w:trPr>
          <w:trHeight w:val="262"/>
        </w:trPr>
        <w:tc>
          <w:tcPr>
            <w:tcW w:w="6799" w:type="dxa"/>
          </w:tcPr>
          <w:p w14:paraId="04F5E4E5" w14:textId="77777777" w:rsidR="00F66803" w:rsidRDefault="00F66803" w:rsidP="00F66803">
            <w:pPr>
              <w:contextualSpacing/>
              <w:jc w:val="both"/>
              <w:rPr>
                <w:rFonts w:ascii="Arial" w:hAnsi="Arial" w:cs="Arial"/>
                <w:bCs/>
                <w:sz w:val="24"/>
                <w:szCs w:val="24"/>
              </w:rPr>
            </w:pPr>
            <w:r w:rsidRPr="00FB6017">
              <w:rPr>
                <w:rFonts w:ascii="Arial" w:hAnsi="Arial" w:cs="Arial"/>
                <w:b/>
                <w:sz w:val="24"/>
                <w:szCs w:val="24"/>
              </w:rPr>
              <w:t>Section 6. Repealing Clause.</w:t>
            </w:r>
            <w:r w:rsidRPr="00FB6017">
              <w:rPr>
                <w:rFonts w:ascii="Arial" w:hAnsi="Arial" w:cs="Arial"/>
                <w:bCs/>
                <w:sz w:val="24"/>
                <w:szCs w:val="24"/>
              </w:rPr>
              <w:t xml:space="preserve"> Any prior issuances, orders or circulars inconsistent with this Circular are hereby repealed, amended or modified accordingly.</w:t>
            </w:r>
          </w:p>
          <w:p w14:paraId="16FA4CF4" w14:textId="77777777" w:rsidR="00A53E88" w:rsidRPr="00F66803" w:rsidRDefault="00A53E88" w:rsidP="00BE1E94">
            <w:pPr>
              <w:jc w:val="both"/>
              <w:rPr>
                <w:rFonts w:ascii="Arial" w:hAnsi="Arial" w:cs="Arial"/>
                <w:color w:val="FF0000"/>
                <w:sz w:val="24"/>
                <w:szCs w:val="24"/>
              </w:rPr>
            </w:pPr>
          </w:p>
        </w:tc>
        <w:tc>
          <w:tcPr>
            <w:tcW w:w="4255" w:type="dxa"/>
          </w:tcPr>
          <w:p w14:paraId="1B66DBFF" w14:textId="77777777" w:rsidR="00A53E88" w:rsidRPr="003557F9" w:rsidRDefault="00A53E88" w:rsidP="00040EFE">
            <w:pPr>
              <w:jc w:val="center"/>
              <w:rPr>
                <w:rFonts w:ascii="Arial" w:hAnsi="Arial" w:cs="Arial"/>
                <w:b/>
                <w:bCs/>
                <w:sz w:val="24"/>
                <w:szCs w:val="24"/>
              </w:rPr>
            </w:pPr>
          </w:p>
        </w:tc>
        <w:tc>
          <w:tcPr>
            <w:tcW w:w="3683" w:type="dxa"/>
          </w:tcPr>
          <w:p w14:paraId="541297AF" w14:textId="77777777" w:rsidR="00A53E88" w:rsidRPr="003557F9" w:rsidRDefault="00A53E88" w:rsidP="00040EFE">
            <w:pPr>
              <w:jc w:val="center"/>
              <w:rPr>
                <w:rFonts w:ascii="Arial" w:hAnsi="Arial" w:cs="Arial"/>
                <w:b/>
                <w:bCs/>
                <w:sz w:val="24"/>
                <w:szCs w:val="24"/>
              </w:rPr>
            </w:pPr>
          </w:p>
        </w:tc>
      </w:tr>
      <w:tr w:rsidR="00A53E88" w:rsidRPr="003557F9" w14:paraId="55FCA52D" w14:textId="77777777" w:rsidTr="003D7D89">
        <w:trPr>
          <w:trHeight w:val="262"/>
        </w:trPr>
        <w:tc>
          <w:tcPr>
            <w:tcW w:w="6799" w:type="dxa"/>
          </w:tcPr>
          <w:p w14:paraId="6EB70AC7" w14:textId="77777777" w:rsidR="00F66803" w:rsidRPr="00FB6017" w:rsidRDefault="00F66803" w:rsidP="00F66803">
            <w:pPr>
              <w:contextualSpacing/>
              <w:jc w:val="both"/>
              <w:rPr>
                <w:rFonts w:ascii="Arial" w:hAnsi="Arial" w:cs="Arial"/>
                <w:sz w:val="24"/>
                <w:szCs w:val="24"/>
              </w:rPr>
            </w:pPr>
            <w:r w:rsidRPr="00FB6017">
              <w:rPr>
                <w:rFonts w:ascii="Arial" w:hAnsi="Arial" w:cs="Arial"/>
                <w:b/>
                <w:sz w:val="24"/>
                <w:szCs w:val="24"/>
              </w:rPr>
              <w:lastRenderedPageBreak/>
              <w:t>Section 7. Effectivity.</w:t>
            </w:r>
            <w:r w:rsidRPr="00FB6017">
              <w:rPr>
                <w:rFonts w:ascii="Arial" w:hAnsi="Arial" w:cs="Arial"/>
                <w:sz w:val="24"/>
                <w:szCs w:val="24"/>
              </w:rPr>
              <w:t xml:space="preserve"> This Circular shall take effect fifteen (15) days after its publication in at least two (2) newspapers of general circulation. Copies of this Circular shall be filed with the University of the Philippines Law Center – Office of the National Administrative Register.</w:t>
            </w:r>
          </w:p>
          <w:p w14:paraId="551802AE" w14:textId="77777777" w:rsidR="00A53E88" w:rsidRPr="00F66803" w:rsidRDefault="00A53E88" w:rsidP="00BE1E94">
            <w:pPr>
              <w:jc w:val="both"/>
              <w:rPr>
                <w:rFonts w:ascii="Arial" w:hAnsi="Arial" w:cs="Arial"/>
                <w:color w:val="FF0000"/>
                <w:sz w:val="24"/>
                <w:szCs w:val="24"/>
              </w:rPr>
            </w:pPr>
          </w:p>
        </w:tc>
        <w:tc>
          <w:tcPr>
            <w:tcW w:w="4255" w:type="dxa"/>
          </w:tcPr>
          <w:p w14:paraId="152BAB19" w14:textId="77777777" w:rsidR="00A53E88" w:rsidRPr="003557F9" w:rsidRDefault="00A53E88" w:rsidP="00040EFE">
            <w:pPr>
              <w:jc w:val="center"/>
              <w:rPr>
                <w:rFonts w:ascii="Arial" w:hAnsi="Arial" w:cs="Arial"/>
                <w:b/>
                <w:bCs/>
                <w:sz w:val="24"/>
                <w:szCs w:val="24"/>
              </w:rPr>
            </w:pPr>
          </w:p>
        </w:tc>
        <w:tc>
          <w:tcPr>
            <w:tcW w:w="3683" w:type="dxa"/>
          </w:tcPr>
          <w:p w14:paraId="474FA869" w14:textId="77777777" w:rsidR="00A53E88" w:rsidRPr="003557F9" w:rsidRDefault="00A53E88" w:rsidP="00040EFE">
            <w:pPr>
              <w:jc w:val="center"/>
              <w:rPr>
                <w:rFonts w:ascii="Arial" w:hAnsi="Arial" w:cs="Arial"/>
                <w:b/>
                <w:bCs/>
                <w:sz w:val="24"/>
                <w:szCs w:val="24"/>
              </w:rPr>
            </w:pPr>
          </w:p>
        </w:tc>
      </w:tr>
    </w:tbl>
    <w:p w14:paraId="48F32E0E" w14:textId="77777777" w:rsidR="008C10E1" w:rsidRPr="00531281" w:rsidRDefault="008C10E1">
      <w:pPr>
        <w:rPr>
          <w:rFonts w:ascii="Arial" w:hAnsi="Arial" w:cs="Arial"/>
          <w:color w:val="FF0000"/>
          <w:sz w:val="24"/>
          <w:szCs w:val="24"/>
        </w:rPr>
      </w:pPr>
    </w:p>
    <w:sectPr w:rsidR="008C10E1" w:rsidRPr="00531281" w:rsidSect="00B473B2">
      <w:headerReference w:type="default" r:id="rId11"/>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1B61C" w14:textId="77777777" w:rsidR="006555D1" w:rsidRDefault="006555D1" w:rsidP="00040EFE">
      <w:pPr>
        <w:spacing w:after="0" w:line="240" w:lineRule="auto"/>
      </w:pPr>
      <w:r>
        <w:separator/>
      </w:r>
    </w:p>
  </w:endnote>
  <w:endnote w:type="continuationSeparator" w:id="0">
    <w:p w14:paraId="33BC7636" w14:textId="77777777" w:rsidR="006555D1" w:rsidRDefault="006555D1" w:rsidP="0004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D1D1D" w14:textId="77777777" w:rsidR="006555D1" w:rsidRDefault="006555D1" w:rsidP="00040EFE">
      <w:pPr>
        <w:spacing w:after="0" w:line="240" w:lineRule="auto"/>
      </w:pPr>
      <w:r>
        <w:separator/>
      </w:r>
    </w:p>
  </w:footnote>
  <w:footnote w:type="continuationSeparator" w:id="0">
    <w:p w14:paraId="02AE8A47" w14:textId="77777777" w:rsidR="006555D1" w:rsidRDefault="006555D1" w:rsidP="0004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AB8E" w14:textId="41BF1E99" w:rsidR="007B3274" w:rsidRPr="00542BF4" w:rsidRDefault="00040EFE" w:rsidP="004D719F">
    <w:pPr>
      <w:jc w:val="center"/>
      <w:rPr>
        <w:rFonts w:ascii="Arial" w:hAnsi="Arial" w:cs="Arial"/>
        <w:b/>
        <w:bCs/>
      </w:rPr>
    </w:pPr>
    <w:r>
      <w:rPr>
        <w:rFonts w:ascii="Arial" w:hAnsi="Arial" w:cs="Arial"/>
        <w:b/>
        <w:bCs/>
      </w:rPr>
      <w:t>&lt;</w:t>
    </w:r>
    <w:r w:rsidRPr="00040EFE">
      <w:rPr>
        <w:rFonts w:ascii="Arial" w:hAnsi="Arial" w:cs="Arial"/>
        <w:b/>
        <w:bCs/>
        <w:color w:val="FF0000"/>
      </w:rPr>
      <w:t>COMPANY NAME</w:t>
    </w:r>
    <w:r>
      <w:rPr>
        <w:rFonts w:ascii="Arial" w:hAnsi="Arial" w:cs="Arial"/>
        <w:b/>
        <w:bCs/>
      </w:rPr>
      <w:t>&gt; Comments on the Proposed Department Circular on</w:t>
    </w:r>
    <w:r>
      <w:rPr>
        <w:rFonts w:ascii="Arial" w:hAnsi="Arial" w:cs="Arial"/>
        <w:b/>
        <w:bCs/>
      </w:rPr>
      <w:br/>
    </w:r>
    <w:bookmarkStart w:id="0" w:name="_Hlk106964847"/>
    <w:r w:rsidR="00542BF4" w:rsidRPr="00542BF4">
      <w:rPr>
        <w:rFonts w:ascii="Arial" w:hAnsi="Arial" w:cs="Arial"/>
        <w:b/>
        <w:bCs/>
      </w:rPr>
      <w:t>“</w:t>
    </w:r>
    <w:r w:rsidR="00F66803" w:rsidRPr="00F66803">
      <w:rPr>
        <w:rFonts w:ascii="Arial" w:hAnsi="Arial" w:cs="Arial"/>
        <w:b/>
        <w:bCs/>
        <w:lang w:val="en-US"/>
      </w:rPr>
      <w:t xml:space="preserve">Supplemental Policy </w:t>
    </w:r>
    <w:r w:rsidR="00F66803">
      <w:rPr>
        <w:rFonts w:ascii="Arial" w:hAnsi="Arial" w:cs="Arial"/>
        <w:b/>
        <w:bCs/>
        <w:lang w:val="en-US"/>
      </w:rPr>
      <w:t>t</w:t>
    </w:r>
    <w:r w:rsidR="00F66803" w:rsidRPr="00F66803">
      <w:rPr>
        <w:rFonts w:ascii="Arial" w:hAnsi="Arial" w:cs="Arial"/>
        <w:b/>
        <w:bCs/>
        <w:lang w:val="en-US"/>
      </w:rPr>
      <w:t xml:space="preserve">o The Net-Metering Program Integrating Renewable Energy Certificate Trading </w:t>
    </w:r>
    <w:proofErr w:type="gramStart"/>
    <w:r w:rsidR="00F66803" w:rsidRPr="00F66803">
      <w:rPr>
        <w:rFonts w:ascii="Arial" w:hAnsi="Arial" w:cs="Arial"/>
        <w:b/>
        <w:bCs/>
        <w:lang w:val="en-US"/>
      </w:rPr>
      <w:t>And</w:t>
    </w:r>
    <w:proofErr w:type="gramEnd"/>
    <w:r w:rsidR="00F66803" w:rsidRPr="00F66803">
      <w:rPr>
        <w:rFonts w:ascii="Arial" w:hAnsi="Arial" w:cs="Arial"/>
        <w:b/>
        <w:bCs/>
        <w:lang w:val="en-US"/>
      </w:rPr>
      <w:t xml:space="preserve"> Multi-Site </w:t>
    </w:r>
    <w:r w:rsidR="00F66803">
      <w:rPr>
        <w:rFonts w:ascii="Arial" w:hAnsi="Arial" w:cs="Arial"/>
        <w:b/>
        <w:bCs/>
        <w:lang w:val="en-US"/>
      </w:rPr>
      <w:t>a</w:t>
    </w:r>
    <w:r w:rsidR="00F66803" w:rsidRPr="00F66803">
      <w:rPr>
        <w:rFonts w:ascii="Arial" w:hAnsi="Arial" w:cs="Arial"/>
        <w:b/>
        <w:bCs/>
        <w:lang w:val="en-US"/>
      </w:rPr>
      <w:t xml:space="preserve">nd Aggregate Net Metering </w:t>
    </w:r>
    <w:r w:rsidR="00F66803">
      <w:rPr>
        <w:rFonts w:ascii="Arial" w:hAnsi="Arial" w:cs="Arial"/>
        <w:b/>
        <w:bCs/>
        <w:lang w:val="en-US"/>
      </w:rPr>
      <w:t>t</w:t>
    </w:r>
    <w:r w:rsidR="00F66803" w:rsidRPr="00F66803">
      <w:rPr>
        <w:rFonts w:ascii="Arial" w:hAnsi="Arial" w:cs="Arial"/>
        <w:b/>
        <w:bCs/>
        <w:lang w:val="en-US"/>
      </w:rPr>
      <w:t xml:space="preserve">o Enhance Participant Benefits </w:t>
    </w:r>
    <w:r w:rsidR="00F66803">
      <w:rPr>
        <w:rFonts w:ascii="Arial" w:hAnsi="Arial" w:cs="Arial"/>
        <w:b/>
        <w:bCs/>
        <w:lang w:val="en-US"/>
      </w:rPr>
      <w:t>a</w:t>
    </w:r>
    <w:r w:rsidR="00F66803" w:rsidRPr="00F66803">
      <w:rPr>
        <w:rFonts w:ascii="Arial" w:hAnsi="Arial" w:cs="Arial"/>
        <w:b/>
        <w:bCs/>
        <w:lang w:val="en-US"/>
      </w:rPr>
      <w:t>nd Market Access</w:t>
    </w:r>
    <w:r w:rsidR="00A53E88">
      <w:rPr>
        <w:rFonts w:ascii="Arial" w:hAnsi="Arial" w:cs="Arial"/>
        <w:b/>
        <w:bCs/>
        <w:lang w:val="en-US"/>
      </w:rPr>
      <w:t>”</w:t>
    </w:r>
  </w:p>
  <w:bookmarkEnd w:id="0"/>
  <w:p w14:paraId="20C2CDED" w14:textId="4B0612B8" w:rsidR="00040EFE" w:rsidRDefault="00040EFE" w:rsidP="007B3274">
    <w:pPr>
      <w:pStyle w:val="p2"/>
      <w:tabs>
        <w:tab w:val="left" w:pos="284"/>
        <w:tab w:val="left" w:pos="567"/>
        <w:tab w:val="left" w:pos="851"/>
        <w:tab w:val="left" w:pos="113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084"/>
    <w:multiLevelType w:val="hybridMultilevel"/>
    <w:tmpl w:val="8102C2A0"/>
    <w:lvl w:ilvl="0" w:tplc="1BE46904">
      <w:start w:val="1"/>
      <w:numFmt w:val="decimal"/>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996996"/>
    <w:multiLevelType w:val="hybridMultilevel"/>
    <w:tmpl w:val="9ECA3526"/>
    <w:lvl w:ilvl="0" w:tplc="60A646F6">
      <w:start w:val="1"/>
      <w:numFmt w:val="decimal"/>
      <w:lvlText w:val="(%1)"/>
      <w:lvlJc w:val="left"/>
      <w:pPr>
        <w:ind w:left="1078" w:hanging="360"/>
      </w:pPr>
      <w:rPr>
        <w:rFonts w:hint="default"/>
        <w:u w:val="single"/>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 w15:restartNumberingAfterBreak="0">
    <w:nsid w:val="1AAD1DFB"/>
    <w:multiLevelType w:val="hybridMultilevel"/>
    <w:tmpl w:val="AC00ED6A"/>
    <w:lvl w:ilvl="0" w:tplc="EA1E3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5B7270"/>
    <w:multiLevelType w:val="hybridMultilevel"/>
    <w:tmpl w:val="CB7CFD68"/>
    <w:lvl w:ilvl="0" w:tplc="41D28B26">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275F22E5"/>
    <w:multiLevelType w:val="hybridMultilevel"/>
    <w:tmpl w:val="C0BECBF6"/>
    <w:lvl w:ilvl="0" w:tplc="868AC922">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 w15:restartNumberingAfterBreak="0">
    <w:nsid w:val="2A75072D"/>
    <w:multiLevelType w:val="hybridMultilevel"/>
    <w:tmpl w:val="DBD4106E"/>
    <w:lvl w:ilvl="0" w:tplc="972C1870">
      <w:start w:val="1"/>
      <w:numFmt w:val="decimal"/>
      <w:lvlText w:val="Section %1."/>
      <w:lvlJc w:val="left"/>
      <w:pPr>
        <w:ind w:left="306" w:hanging="360"/>
      </w:pPr>
      <w:rPr>
        <w:rFonts w:hint="default"/>
        <w:b/>
        <w:bCs/>
      </w:rPr>
    </w:lvl>
    <w:lvl w:ilvl="1" w:tplc="04090019">
      <w:start w:val="1"/>
      <w:numFmt w:val="lowerLetter"/>
      <w:lvlText w:val="%2."/>
      <w:lvlJc w:val="left"/>
      <w:pPr>
        <w:ind w:left="1026" w:hanging="360"/>
      </w:pPr>
    </w:lvl>
    <w:lvl w:ilvl="2" w:tplc="0409001B" w:tentative="1">
      <w:start w:val="1"/>
      <w:numFmt w:val="lowerRoman"/>
      <w:lvlText w:val="%3."/>
      <w:lvlJc w:val="right"/>
      <w:pPr>
        <w:ind w:left="1746" w:hanging="180"/>
      </w:pPr>
    </w:lvl>
    <w:lvl w:ilvl="3" w:tplc="0409000F" w:tentative="1">
      <w:start w:val="1"/>
      <w:numFmt w:val="decimal"/>
      <w:lvlText w:val="%4."/>
      <w:lvlJc w:val="left"/>
      <w:pPr>
        <w:ind w:left="2466" w:hanging="360"/>
      </w:pPr>
    </w:lvl>
    <w:lvl w:ilvl="4" w:tplc="04090019" w:tentative="1">
      <w:start w:val="1"/>
      <w:numFmt w:val="lowerLetter"/>
      <w:lvlText w:val="%5."/>
      <w:lvlJc w:val="left"/>
      <w:pPr>
        <w:ind w:left="3186" w:hanging="360"/>
      </w:pPr>
    </w:lvl>
    <w:lvl w:ilvl="5" w:tplc="0409001B" w:tentative="1">
      <w:start w:val="1"/>
      <w:numFmt w:val="lowerRoman"/>
      <w:lvlText w:val="%6."/>
      <w:lvlJc w:val="right"/>
      <w:pPr>
        <w:ind w:left="3906" w:hanging="180"/>
      </w:pPr>
    </w:lvl>
    <w:lvl w:ilvl="6" w:tplc="0409000F" w:tentative="1">
      <w:start w:val="1"/>
      <w:numFmt w:val="decimal"/>
      <w:lvlText w:val="%7."/>
      <w:lvlJc w:val="left"/>
      <w:pPr>
        <w:ind w:left="4626" w:hanging="360"/>
      </w:pPr>
    </w:lvl>
    <w:lvl w:ilvl="7" w:tplc="04090019" w:tentative="1">
      <w:start w:val="1"/>
      <w:numFmt w:val="lowerLetter"/>
      <w:lvlText w:val="%8."/>
      <w:lvlJc w:val="left"/>
      <w:pPr>
        <w:ind w:left="5346" w:hanging="360"/>
      </w:pPr>
    </w:lvl>
    <w:lvl w:ilvl="8" w:tplc="0409001B" w:tentative="1">
      <w:start w:val="1"/>
      <w:numFmt w:val="lowerRoman"/>
      <w:lvlText w:val="%9."/>
      <w:lvlJc w:val="right"/>
      <w:pPr>
        <w:ind w:left="6066" w:hanging="180"/>
      </w:pPr>
    </w:lvl>
  </w:abstractNum>
  <w:abstractNum w:abstractNumId="6" w15:restartNumberingAfterBreak="0">
    <w:nsid w:val="358624C3"/>
    <w:multiLevelType w:val="hybridMultilevel"/>
    <w:tmpl w:val="657A9178"/>
    <w:lvl w:ilvl="0" w:tplc="EDC8CB3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50CF67FF"/>
    <w:multiLevelType w:val="hybridMultilevel"/>
    <w:tmpl w:val="72CA42F8"/>
    <w:lvl w:ilvl="0" w:tplc="12CA5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DB0194"/>
    <w:multiLevelType w:val="hybridMultilevel"/>
    <w:tmpl w:val="10A4A374"/>
    <w:lvl w:ilvl="0" w:tplc="0BE83512">
      <w:start w:val="1"/>
      <w:numFmt w:val="lowerLetter"/>
      <w:lvlText w:val="(%1)"/>
      <w:lvlJc w:val="left"/>
      <w:pPr>
        <w:ind w:left="1080" w:hanging="360"/>
      </w:pPr>
      <w:rPr>
        <w:rFonts w:hint="default"/>
        <w:b w:val="0"/>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D349DC"/>
    <w:multiLevelType w:val="hybridMultilevel"/>
    <w:tmpl w:val="63C26484"/>
    <w:lvl w:ilvl="0" w:tplc="5F407E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5B17DF1"/>
    <w:multiLevelType w:val="hybridMultilevel"/>
    <w:tmpl w:val="C0622456"/>
    <w:lvl w:ilvl="0" w:tplc="5930FD3C">
      <w:start w:val="1"/>
      <w:numFmt w:val="upp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23530"/>
    <w:multiLevelType w:val="hybridMultilevel"/>
    <w:tmpl w:val="1E68C640"/>
    <w:lvl w:ilvl="0" w:tplc="A89CEFB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7E4618B1"/>
    <w:multiLevelType w:val="hybridMultilevel"/>
    <w:tmpl w:val="E0CC8922"/>
    <w:lvl w:ilvl="0" w:tplc="BF3E3620">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3" w15:restartNumberingAfterBreak="0">
    <w:nsid w:val="7E4B67B9"/>
    <w:multiLevelType w:val="hybridMultilevel"/>
    <w:tmpl w:val="5492F2EA"/>
    <w:lvl w:ilvl="0" w:tplc="4E128C7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46036360">
    <w:abstractNumId w:val="5"/>
  </w:num>
  <w:num w:numId="2" w16cid:durableId="1098676558">
    <w:abstractNumId w:val="2"/>
  </w:num>
  <w:num w:numId="3" w16cid:durableId="981234719">
    <w:abstractNumId w:val="13"/>
  </w:num>
  <w:num w:numId="4" w16cid:durableId="2037387943">
    <w:abstractNumId w:val="11"/>
  </w:num>
  <w:num w:numId="5" w16cid:durableId="38677011">
    <w:abstractNumId w:val="4"/>
  </w:num>
  <w:num w:numId="6" w16cid:durableId="1636373897">
    <w:abstractNumId w:val="12"/>
  </w:num>
  <w:num w:numId="7" w16cid:durableId="723484227">
    <w:abstractNumId w:val="9"/>
  </w:num>
  <w:num w:numId="8" w16cid:durableId="498621588">
    <w:abstractNumId w:val="6"/>
  </w:num>
  <w:num w:numId="9" w16cid:durableId="841554191">
    <w:abstractNumId w:val="10"/>
  </w:num>
  <w:num w:numId="10" w16cid:durableId="615259854">
    <w:abstractNumId w:val="7"/>
  </w:num>
  <w:num w:numId="11" w16cid:durableId="140390170">
    <w:abstractNumId w:val="1"/>
  </w:num>
  <w:num w:numId="12" w16cid:durableId="807170071">
    <w:abstractNumId w:val="8"/>
  </w:num>
  <w:num w:numId="13" w16cid:durableId="1695765179">
    <w:abstractNumId w:val="0"/>
  </w:num>
  <w:num w:numId="14" w16cid:durableId="101110047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Nja3MDa2NDO0NLFU0lEKTi0uzszPAykwqQUAmwaPSSwAAAA="/>
  </w:docVars>
  <w:rsids>
    <w:rsidRoot w:val="00040EFE"/>
    <w:rsid w:val="00030B66"/>
    <w:rsid w:val="00034822"/>
    <w:rsid w:val="000350DF"/>
    <w:rsid w:val="000368A5"/>
    <w:rsid w:val="00040A04"/>
    <w:rsid w:val="00040EFE"/>
    <w:rsid w:val="00055761"/>
    <w:rsid w:val="00062AB5"/>
    <w:rsid w:val="000705C4"/>
    <w:rsid w:val="000756A5"/>
    <w:rsid w:val="00080A05"/>
    <w:rsid w:val="00090524"/>
    <w:rsid w:val="00091AAB"/>
    <w:rsid w:val="000B0A57"/>
    <w:rsid w:val="000B11B0"/>
    <w:rsid w:val="000B201E"/>
    <w:rsid w:val="000B24B6"/>
    <w:rsid w:val="000C2E6A"/>
    <w:rsid w:val="000C3A93"/>
    <w:rsid w:val="000C57D2"/>
    <w:rsid w:val="000D2456"/>
    <w:rsid w:val="00106247"/>
    <w:rsid w:val="0011612E"/>
    <w:rsid w:val="00123448"/>
    <w:rsid w:val="00135204"/>
    <w:rsid w:val="001414BB"/>
    <w:rsid w:val="001568F1"/>
    <w:rsid w:val="00156AA3"/>
    <w:rsid w:val="0017540F"/>
    <w:rsid w:val="00195C99"/>
    <w:rsid w:val="00196E4D"/>
    <w:rsid w:val="001A3E22"/>
    <w:rsid w:val="001B1080"/>
    <w:rsid w:val="001D58A6"/>
    <w:rsid w:val="0021487B"/>
    <w:rsid w:val="00225424"/>
    <w:rsid w:val="00240866"/>
    <w:rsid w:val="0026772D"/>
    <w:rsid w:val="0028128B"/>
    <w:rsid w:val="002817B4"/>
    <w:rsid w:val="00284B77"/>
    <w:rsid w:val="002A081A"/>
    <w:rsid w:val="002A180F"/>
    <w:rsid w:val="002A7E83"/>
    <w:rsid w:val="002C491C"/>
    <w:rsid w:val="00335FC6"/>
    <w:rsid w:val="00347C81"/>
    <w:rsid w:val="0035078F"/>
    <w:rsid w:val="003557F9"/>
    <w:rsid w:val="00355FB6"/>
    <w:rsid w:val="0037264A"/>
    <w:rsid w:val="0038500F"/>
    <w:rsid w:val="00395B3F"/>
    <w:rsid w:val="003B4841"/>
    <w:rsid w:val="003D3447"/>
    <w:rsid w:val="003D58D1"/>
    <w:rsid w:val="003D7D89"/>
    <w:rsid w:val="003E3602"/>
    <w:rsid w:val="004145C7"/>
    <w:rsid w:val="00425FB3"/>
    <w:rsid w:val="00437717"/>
    <w:rsid w:val="00440A26"/>
    <w:rsid w:val="00444643"/>
    <w:rsid w:val="004612C6"/>
    <w:rsid w:val="00482F60"/>
    <w:rsid w:val="00485E5B"/>
    <w:rsid w:val="0048667F"/>
    <w:rsid w:val="00486ED1"/>
    <w:rsid w:val="0049227D"/>
    <w:rsid w:val="00497C4C"/>
    <w:rsid w:val="004A4D23"/>
    <w:rsid w:val="004B491A"/>
    <w:rsid w:val="004B5A76"/>
    <w:rsid w:val="004D5F4D"/>
    <w:rsid w:val="004D719F"/>
    <w:rsid w:val="004E34F2"/>
    <w:rsid w:val="004F7E99"/>
    <w:rsid w:val="00505814"/>
    <w:rsid w:val="005139B3"/>
    <w:rsid w:val="00513A08"/>
    <w:rsid w:val="00531281"/>
    <w:rsid w:val="00542BF4"/>
    <w:rsid w:val="005539D4"/>
    <w:rsid w:val="0055665A"/>
    <w:rsid w:val="0057034B"/>
    <w:rsid w:val="00570B77"/>
    <w:rsid w:val="00577526"/>
    <w:rsid w:val="00592098"/>
    <w:rsid w:val="00592D51"/>
    <w:rsid w:val="00592EC4"/>
    <w:rsid w:val="005A2D06"/>
    <w:rsid w:val="005B1484"/>
    <w:rsid w:val="005C19D2"/>
    <w:rsid w:val="005C50A4"/>
    <w:rsid w:val="0060080B"/>
    <w:rsid w:val="00612931"/>
    <w:rsid w:val="006203AF"/>
    <w:rsid w:val="00627EA4"/>
    <w:rsid w:val="00652618"/>
    <w:rsid w:val="00653D4A"/>
    <w:rsid w:val="006555D1"/>
    <w:rsid w:val="00656632"/>
    <w:rsid w:val="0068058F"/>
    <w:rsid w:val="00681002"/>
    <w:rsid w:val="00691B8D"/>
    <w:rsid w:val="006A1D8F"/>
    <w:rsid w:val="006B4DF9"/>
    <w:rsid w:val="006E2DF8"/>
    <w:rsid w:val="00700870"/>
    <w:rsid w:val="00706315"/>
    <w:rsid w:val="00713372"/>
    <w:rsid w:val="00721BF9"/>
    <w:rsid w:val="00722C44"/>
    <w:rsid w:val="00731893"/>
    <w:rsid w:val="00732C0C"/>
    <w:rsid w:val="00752654"/>
    <w:rsid w:val="007627AF"/>
    <w:rsid w:val="007633D2"/>
    <w:rsid w:val="00795511"/>
    <w:rsid w:val="007B3274"/>
    <w:rsid w:val="007B380D"/>
    <w:rsid w:val="007B4304"/>
    <w:rsid w:val="007B52BB"/>
    <w:rsid w:val="007C7093"/>
    <w:rsid w:val="007E1920"/>
    <w:rsid w:val="007E7274"/>
    <w:rsid w:val="007F44AE"/>
    <w:rsid w:val="0082769D"/>
    <w:rsid w:val="00846957"/>
    <w:rsid w:val="00853AE6"/>
    <w:rsid w:val="0088176E"/>
    <w:rsid w:val="00882060"/>
    <w:rsid w:val="00885075"/>
    <w:rsid w:val="0089500E"/>
    <w:rsid w:val="00895728"/>
    <w:rsid w:val="008A2655"/>
    <w:rsid w:val="008C10E1"/>
    <w:rsid w:val="008D49BC"/>
    <w:rsid w:val="008E3468"/>
    <w:rsid w:val="008F428F"/>
    <w:rsid w:val="00901B79"/>
    <w:rsid w:val="00904A5C"/>
    <w:rsid w:val="00916033"/>
    <w:rsid w:val="009A2FF7"/>
    <w:rsid w:val="009A4D4A"/>
    <w:rsid w:val="009C28B6"/>
    <w:rsid w:val="009C672B"/>
    <w:rsid w:val="009D41CC"/>
    <w:rsid w:val="009E602F"/>
    <w:rsid w:val="00A00060"/>
    <w:rsid w:val="00A0690E"/>
    <w:rsid w:val="00A402F9"/>
    <w:rsid w:val="00A51781"/>
    <w:rsid w:val="00A53C93"/>
    <w:rsid w:val="00A53E88"/>
    <w:rsid w:val="00A7712F"/>
    <w:rsid w:val="00A83989"/>
    <w:rsid w:val="00AB0D45"/>
    <w:rsid w:val="00AC0FE1"/>
    <w:rsid w:val="00AC3D87"/>
    <w:rsid w:val="00AE3E5E"/>
    <w:rsid w:val="00AF2A87"/>
    <w:rsid w:val="00AF408F"/>
    <w:rsid w:val="00AF4F00"/>
    <w:rsid w:val="00AF65F8"/>
    <w:rsid w:val="00B26EF3"/>
    <w:rsid w:val="00B2792F"/>
    <w:rsid w:val="00B3388C"/>
    <w:rsid w:val="00B33A35"/>
    <w:rsid w:val="00B473B2"/>
    <w:rsid w:val="00B87C7E"/>
    <w:rsid w:val="00B90D04"/>
    <w:rsid w:val="00B95ED8"/>
    <w:rsid w:val="00BB275B"/>
    <w:rsid w:val="00BC18C3"/>
    <w:rsid w:val="00BC4BE4"/>
    <w:rsid w:val="00BE1E94"/>
    <w:rsid w:val="00BE4101"/>
    <w:rsid w:val="00BF4385"/>
    <w:rsid w:val="00BF7729"/>
    <w:rsid w:val="00C001D6"/>
    <w:rsid w:val="00C11930"/>
    <w:rsid w:val="00C16AEB"/>
    <w:rsid w:val="00C4141D"/>
    <w:rsid w:val="00C56B86"/>
    <w:rsid w:val="00C615CA"/>
    <w:rsid w:val="00C658C4"/>
    <w:rsid w:val="00C7019D"/>
    <w:rsid w:val="00C75C43"/>
    <w:rsid w:val="00C919A3"/>
    <w:rsid w:val="00C93F9A"/>
    <w:rsid w:val="00CA58D6"/>
    <w:rsid w:val="00CC5D79"/>
    <w:rsid w:val="00CE4CAD"/>
    <w:rsid w:val="00CE7118"/>
    <w:rsid w:val="00CE7996"/>
    <w:rsid w:val="00CF0C2E"/>
    <w:rsid w:val="00D15783"/>
    <w:rsid w:val="00D17DF4"/>
    <w:rsid w:val="00D4301D"/>
    <w:rsid w:val="00D4600F"/>
    <w:rsid w:val="00D523DE"/>
    <w:rsid w:val="00D643EB"/>
    <w:rsid w:val="00DA0275"/>
    <w:rsid w:val="00DA3E9E"/>
    <w:rsid w:val="00DA462D"/>
    <w:rsid w:val="00DA74C1"/>
    <w:rsid w:val="00DB2F91"/>
    <w:rsid w:val="00DD2345"/>
    <w:rsid w:val="00DD5F92"/>
    <w:rsid w:val="00DE6416"/>
    <w:rsid w:val="00E029BC"/>
    <w:rsid w:val="00E07D4E"/>
    <w:rsid w:val="00E26D01"/>
    <w:rsid w:val="00E6735A"/>
    <w:rsid w:val="00E82BD3"/>
    <w:rsid w:val="00E841EF"/>
    <w:rsid w:val="00E85B0B"/>
    <w:rsid w:val="00E95390"/>
    <w:rsid w:val="00EA05AF"/>
    <w:rsid w:val="00EA0A0D"/>
    <w:rsid w:val="00EA15DD"/>
    <w:rsid w:val="00EA2BDF"/>
    <w:rsid w:val="00EB64F5"/>
    <w:rsid w:val="00EB7C94"/>
    <w:rsid w:val="00EF2EA1"/>
    <w:rsid w:val="00F13199"/>
    <w:rsid w:val="00F17867"/>
    <w:rsid w:val="00F477CF"/>
    <w:rsid w:val="00F47A8E"/>
    <w:rsid w:val="00F51740"/>
    <w:rsid w:val="00F549C2"/>
    <w:rsid w:val="00F661C8"/>
    <w:rsid w:val="00F66803"/>
    <w:rsid w:val="00F745F7"/>
    <w:rsid w:val="00F74FB0"/>
    <w:rsid w:val="00FA216E"/>
    <w:rsid w:val="00FB0F8A"/>
    <w:rsid w:val="00FC5C53"/>
    <w:rsid w:val="00FD06E1"/>
    <w:rsid w:val="00FD111F"/>
    <w:rsid w:val="00FD2CC0"/>
    <w:rsid w:val="2343F0E5"/>
    <w:rsid w:val="48E269B9"/>
    <w:rsid w:val="79F9D52C"/>
    <w:rsid w:val="7DB4BAA9"/>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5256A"/>
  <w15:chartTrackingRefBased/>
  <w15:docId w15:val="{DA54BAA5-2D49-423C-8DBD-15EDBCE4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CAD"/>
  </w:style>
  <w:style w:type="paragraph" w:styleId="Heading1">
    <w:name w:val="heading 1"/>
    <w:basedOn w:val="Normal"/>
    <w:link w:val="Heading1Char"/>
    <w:uiPriority w:val="9"/>
    <w:qFormat/>
    <w:rsid w:val="004A4D23"/>
    <w:pPr>
      <w:widowControl w:val="0"/>
      <w:autoSpaceDE w:val="0"/>
      <w:autoSpaceDN w:val="0"/>
      <w:spacing w:after="0" w:line="240" w:lineRule="auto"/>
      <w:ind w:left="1172" w:right="4112"/>
      <w:jc w:val="center"/>
      <w:outlineLvl w:val="0"/>
    </w:pPr>
    <w:rPr>
      <w:rFonts w:ascii="Arial" w:eastAsia="Arial" w:hAnsi="Arial" w:cs="Arial"/>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EFE"/>
  </w:style>
  <w:style w:type="paragraph" w:styleId="Footer">
    <w:name w:val="footer"/>
    <w:basedOn w:val="Normal"/>
    <w:link w:val="FooterChar"/>
    <w:uiPriority w:val="99"/>
    <w:unhideWhenUsed/>
    <w:rsid w:val="0004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EFE"/>
  </w:style>
  <w:style w:type="paragraph" w:customStyle="1" w:styleId="p2">
    <w:name w:val="p2"/>
    <w:rsid w:val="00040EFE"/>
    <w:pPr>
      <w:pBdr>
        <w:top w:val="nil"/>
        <w:left w:val="nil"/>
        <w:bottom w:val="nil"/>
        <w:right w:val="nil"/>
        <w:between w:val="nil"/>
        <w:bar w:val="nil"/>
      </w:pBdr>
      <w:spacing w:after="0" w:line="240" w:lineRule="auto"/>
    </w:pPr>
    <w:rPr>
      <w:rFonts w:ascii="Verdana" w:eastAsia="Arial Unicode MS" w:hAnsi="Verdana" w:cs="Arial Unicode MS"/>
      <w:color w:val="000000"/>
      <w:sz w:val="17"/>
      <w:szCs w:val="17"/>
      <w:u w:color="000000"/>
      <w:bdr w:val="nil"/>
      <w:lang w:val="en-US"/>
    </w:rPr>
  </w:style>
  <w:style w:type="paragraph" w:customStyle="1" w:styleId="Body">
    <w:name w:val="Body"/>
    <w:rsid w:val="00040EF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styleId="ListParagraph">
    <w:name w:val="List Paragraph"/>
    <w:aliases w:val="List number Paragraph,En tête 1,Normal Italics,Recommendation,List Paragraph1,List Paragraph11,Rec para,Dot pt,F5 List Paragraph,No Spacing1,List Paragraph Char Char Char,Indicator Text,Numbered Para 1,Colorful List - Accent 11,Bullet 1"/>
    <w:link w:val="ListParagraphChar"/>
    <w:uiPriority w:val="34"/>
    <w:qFormat/>
    <w:rsid w:val="00040EFE"/>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val="en-US"/>
    </w:rPr>
  </w:style>
  <w:style w:type="paragraph" w:styleId="NoSpacing">
    <w:name w:val="No Spacing"/>
    <w:uiPriority w:val="1"/>
    <w:qFormat/>
    <w:rsid w:val="007B3274"/>
    <w:pPr>
      <w:spacing w:after="0" w:line="240" w:lineRule="auto"/>
    </w:pPr>
    <w:rPr>
      <w:sz w:val="24"/>
      <w:szCs w:val="24"/>
    </w:rPr>
  </w:style>
  <w:style w:type="paragraph" w:styleId="BodyText">
    <w:name w:val="Body Text"/>
    <w:basedOn w:val="Normal"/>
    <w:link w:val="BodyTextChar"/>
    <w:uiPriority w:val="1"/>
    <w:qFormat/>
    <w:rsid w:val="00395B3F"/>
    <w:pPr>
      <w:widowControl w:val="0"/>
      <w:autoSpaceDE w:val="0"/>
      <w:autoSpaceDN w:val="0"/>
      <w:spacing w:after="0" w:line="240" w:lineRule="auto"/>
    </w:pPr>
    <w:rPr>
      <w:rFonts w:ascii="Arial MT" w:eastAsia="Arial MT" w:hAnsi="Arial MT" w:cs="Arial MT"/>
      <w:sz w:val="17"/>
      <w:szCs w:val="17"/>
      <w:lang w:val="en-US"/>
    </w:rPr>
  </w:style>
  <w:style w:type="character" w:customStyle="1" w:styleId="BodyTextChar">
    <w:name w:val="Body Text Char"/>
    <w:basedOn w:val="DefaultParagraphFont"/>
    <w:link w:val="BodyText"/>
    <w:uiPriority w:val="1"/>
    <w:rsid w:val="00395B3F"/>
    <w:rPr>
      <w:rFonts w:ascii="Arial MT" w:eastAsia="Arial MT" w:hAnsi="Arial MT" w:cs="Arial MT"/>
      <w:sz w:val="17"/>
      <w:szCs w:val="17"/>
      <w:lang w:val="en-US"/>
    </w:rPr>
  </w:style>
  <w:style w:type="paragraph" w:styleId="Revision">
    <w:name w:val="Revision"/>
    <w:hidden/>
    <w:uiPriority w:val="99"/>
    <w:semiHidden/>
    <w:rsid w:val="00AF4F00"/>
    <w:pPr>
      <w:spacing w:after="0" w:line="240" w:lineRule="auto"/>
    </w:pPr>
    <w:rPr>
      <w:lang w:val="en-SG"/>
    </w:rPr>
  </w:style>
  <w:style w:type="character" w:customStyle="1" w:styleId="Heading1Char">
    <w:name w:val="Heading 1 Char"/>
    <w:basedOn w:val="DefaultParagraphFont"/>
    <w:link w:val="Heading1"/>
    <w:uiPriority w:val="9"/>
    <w:rsid w:val="004A4D23"/>
    <w:rPr>
      <w:rFonts w:ascii="Arial" w:eastAsia="Arial" w:hAnsi="Arial" w:cs="Arial"/>
      <w:b/>
      <w:bCs/>
      <w:sz w:val="17"/>
      <w:szCs w:val="17"/>
      <w:lang w:val="en-US"/>
    </w:rPr>
  </w:style>
  <w:style w:type="character" w:styleId="CommentReference">
    <w:name w:val="annotation reference"/>
    <w:basedOn w:val="DefaultParagraphFont"/>
    <w:uiPriority w:val="99"/>
    <w:semiHidden/>
    <w:unhideWhenUsed/>
    <w:rsid w:val="00C001D6"/>
    <w:rPr>
      <w:sz w:val="16"/>
      <w:szCs w:val="16"/>
    </w:rPr>
  </w:style>
  <w:style w:type="paragraph" w:styleId="CommentText">
    <w:name w:val="annotation text"/>
    <w:basedOn w:val="Normal"/>
    <w:link w:val="CommentTextChar"/>
    <w:uiPriority w:val="99"/>
    <w:unhideWhenUsed/>
    <w:rsid w:val="00C001D6"/>
    <w:pPr>
      <w:spacing w:line="240" w:lineRule="auto"/>
    </w:pPr>
    <w:rPr>
      <w:sz w:val="20"/>
      <w:szCs w:val="20"/>
    </w:rPr>
  </w:style>
  <w:style w:type="character" w:customStyle="1" w:styleId="CommentTextChar">
    <w:name w:val="Comment Text Char"/>
    <w:basedOn w:val="DefaultParagraphFont"/>
    <w:link w:val="CommentText"/>
    <w:uiPriority w:val="99"/>
    <w:rsid w:val="00C001D6"/>
    <w:rPr>
      <w:sz w:val="20"/>
      <w:szCs w:val="20"/>
    </w:rPr>
  </w:style>
  <w:style w:type="character" w:styleId="Hyperlink">
    <w:name w:val="Hyperlink"/>
    <w:basedOn w:val="DefaultParagraphFont"/>
    <w:uiPriority w:val="99"/>
    <w:unhideWhenUsed/>
    <w:rsid w:val="00090524"/>
    <w:rPr>
      <w:color w:val="0563C1" w:themeColor="hyperlink"/>
      <w:u w:val="single"/>
    </w:rPr>
  </w:style>
  <w:style w:type="paragraph" w:styleId="NormalWeb">
    <w:name w:val="Normal (Web)"/>
    <w:basedOn w:val="Normal"/>
    <w:uiPriority w:val="99"/>
    <w:unhideWhenUsed/>
    <w:rsid w:val="003E3602"/>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D719F"/>
  </w:style>
  <w:style w:type="character" w:customStyle="1" w:styleId="ListParagraphChar">
    <w:name w:val="List Paragraph Char"/>
    <w:aliases w:val="List number Paragraph Char,En tête 1 Char,Normal Italics Char,Recommendation Char,List Paragraph1 Char,List Paragraph11 Char,Rec para Char,Dot pt Char,F5 List Paragraph Char,No Spacing1 Char,List Paragraph Char Char Char Char"/>
    <w:basedOn w:val="DefaultParagraphFont"/>
    <w:link w:val="ListParagraph"/>
    <w:uiPriority w:val="34"/>
    <w:qFormat/>
    <w:rsid w:val="00F66803"/>
    <w:rPr>
      <w:rFonts w:ascii="Calibri" w:eastAsia="Calibri" w:hAnsi="Calibri" w:cs="Calibri"/>
      <w:color w:val="000000"/>
      <w:sz w:val="24"/>
      <w:szCs w:val="24"/>
      <w:u w:color="000000"/>
      <w:bdr w:val="nil"/>
      <w:lang w:val="en-US"/>
    </w:rPr>
  </w:style>
  <w:style w:type="character" w:customStyle="1" w:styleId="apple-converted-space">
    <w:name w:val="apple-converted-space"/>
    <w:rsid w:val="00DD5F9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350599">
      <w:bodyDiv w:val="1"/>
      <w:marLeft w:val="0"/>
      <w:marRight w:val="0"/>
      <w:marTop w:val="0"/>
      <w:marBottom w:val="0"/>
      <w:divBdr>
        <w:top w:val="none" w:sz="0" w:space="0" w:color="auto"/>
        <w:left w:val="none" w:sz="0" w:space="0" w:color="auto"/>
        <w:bottom w:val="none" w:sz="0" w:space="0" w:color="auto"/>
        <w:right w:val="none" w:sz="0" w:space="0" w:color="auto"/>
      </w:divBdr>
      <w:divsChild>
        <w:div w:id="952901466">
          <w:marLeft w:val="0"/>
          <w:marRight w:val="0"/>
          <w:marTop w:val="0"/>
          <w:marBottom w:val="0"/>
          <w:divBdr>
            <w:top w:val="none" w:sz="0" w:space="0" w:color="auto"/>
            <w:left w:val="none" w:sz="0" w:space="0" w:color="auto"/>
            <w:bottom w:val="none" w:sz="0" w:space="0" w:color="auto"/>
            <w:right w:val="none" w:sz="0" w:space="0" w:color="auto"/>
          </w:divBdr>
          <w:divsChild>
            <w:div w:id="373623363">
              <w:marLeft w:val="0"/>
              <w:marRight w:val="0"/>
              <w:marTop w:val="0"/>
              <w:marBottom w:val="0"/>
              <w:divBdr>
                <w:top w:val="none" w:sz="0" w:space="0" w:color="auto"/>
                <w:left w:val="none" w:sz="0" w:space="0" w:color="auto"/>
                <w:bottom w:val="none" w:sz="0" w:space="0" w:color="auto"/>
                <w:right w:val="none" w:sz="0" w:space="0" w:color="auto"/>
              </w:divBdr>
            </w:div>
          </w:divsChild>
        </w:div>
        <w:div w:id="1782608034">
          <w:marLeft w:val="0"/>
          <w:marRight w:val="0"/>
          <w:marTop w:val="0"/>
          <w:marBottom w:val="0"/>
          <w:divBdr>
            <w:top w:val="none" w:sz="0" w:space="0" w:color="auto"/>
            <w:left w:val="none" w:sz="0" w:space="0" w:color="auto"/>
            <w:bottom w:val="none" w:sz="0" w:space="0" w:color="auto"/>
            <w:right w:val="none" w:sz="0" w:space="0" w:color="auto"/>
          </w:divBdr>
          <w:divsChild>
            <w:div w:id="1443917764">
              <w:marLeft w:val="0"/>
              <w:marRight w:val="0"/>
              <w:marTop w:val="0"/>
              <w:marBottom w:val="0"/>
              <w:divBdr>
                <w:top w:val="none" w:sz="0" w:space="0" w:color="auto"/>
                <w:left w:val="none" w:sz="0" w:space="0" w:color="auto"/>
                <w:bottom w:val="none" w:sz="0" w:space="0" w:color="auto"/>
                <w:right w:val="none" w:sz="0" w:space="0" w:color="auto"/>
              </w:divBdr>
            </w:div>
          </w:divsChild>
        </w:div>
        <w:div w:id="1805347703">
          <w:marLeft w:val="0"/>
          <w:marRight w:val="0"/>
          <w:marTop w:val="0"/>
          <w:marBottom w:val="0"/>
          <w:divBdr>
            <w:top w:val="none" w:sz="0" w:space="0" w:color="auto"/>
            <w:left w:val="none" w:sz="0" w:space="0" w:color="auto"/>
            <w:bottom w:val="none" w:sz="0" w:space="0" w:color="auto"/>
            <w:right w:val="none" w:sz="0" w:space="0" w:color="auto"/>
          </w:divBdr>
          <w:divsChild>
            <w:div w:id="596904983">
              <w:marLeft w:val="0"/>
              <w:marRight w:val="0"/>
              <w:marTop w:val="0"/>
              <w:marBottom w:val="0"/>
              <w:divBdr>
                <w:top w:val="none" w:sz="0" w:space="0" w:color="auto"/>
                <w:left w:val="none" w:sz="0" w:space="0" w:color="auto"/>
                <w:bottom w:val="none" w:sz="0" w:space="0" w:color="auto"/>
                <w:right w:val="none" w:sz="0" w:space="0" w:color="auto"/>
              </w:divBdr>
            </w:div>
          </w:divsChild>
        </w:div>
        <w:div w:id="396392740">
          <w:marLeft w:val="0"/>
          <w:marRight w:val="0"/>
          <w:marTop w:val="0"/>
          <w:marBottom w:val="0"/>
          <w:divBdr>
            <w:top w:val="none" w:sz="0" w:space="0" w:color="auto"/>
            <w:left w:val="none" w:sz="0" w:space="0" w:color="auto"/>
            <w:bottom w:val="none" w:sz="0" w:space="0" w:color="auto"/>
            <w:right w:val="none" w:sz="0" w:space="0" w:color="auto"/>
          </w:divBdr>
          <w:divsChild>
            <w:div w:id="1345084969">
              <w:marLeft w:val="0"/>
              <w:marRight w:val="0"/>
              <w:marTop w:val="0"/>
              <w:marBottom w:val="0"/>
              <w:divBdr>
                <w:top w:val="none" w:sz="0" w:space="0" w:color="auto"/>
                <w:left w:val="none" w:sz="0" w:space="0" w:color="auto"/>
                <w:bottom w:val="none" w:sz="0" w:space="0" w:color="auto"/>
                <w:right w:val="none" w:sz="0" w:space="0" w:color="auto"/>
              </w:divBdr>
            </w:div>
            <w:div w:id="1784877998">
              <w:marLeft w:val="0"/>
              <w:marRight w:val="0"/>
              <w:marTop w:val="0"/>
              <w:marBottom w:val="0"/>
              <w:divBdr>
                <w:top w:val="none" w:sz="0" w:space="0" w:color="auto"/>
                <w:left w:val="none" w:sz="0" w:space="0" w:color="auto"/>
                <w:bottom w:val="none" w:sz="0" w:space="0" w:color="auto"/>
                <w:right w:val="none" w:sz="0" w:space="0" w:color="auto"/>
              </w:divBdr>
            </w:div>
          </w:divsChild>
        </w:div>
        <w:div w:id="1718972306">
          <w:marLeft w:val="0"/>
          <w:marRight w:val="0"/>
          <w:marTop w:val="0"/>
          <w:marBottom w:val="0"/>
          <w:divBdr>
            <w:top w:val="none" w:sz="0" w:space="0" w:color="auto"/>
            <w:left w:val="none" w:sz="0" w:space="0" w:color="auto"/>
            <w:bottom w:val="none" w:sz="0" w:space="0" w:color="auto"/>
            <w:right w:val="none" w:sz="0" w:space="0" w:color="auto"/>
          </w:divBdr>
          <w:divsChild>
            <w:div w:id="2034111699">
              <w:marLeft w:val="0"/>
              <w:marRight w:val="0"/>
              <w:marTop w:val="0"/>
              <w:marBottom w:val="0"/>
              <w:divBdr>
                <w:top w:val="none" w:sz="0" w:space="0" w:color="auto"/>
                <w:left w:val="none" w:sz="0" w:space="0" w:color="auto"/>
                <w:bottom w:val="none" w:sz="0" w:space="0" w:color="auto"/>
                <w:right w:val="none" w:sz="0" w:space="0" w:color="auto"/>
              </w:divBdr>
            </w:div>
          </w:divsChild>
        </w:div>
        <w:div w:id="1316186179">
          <w:marLeft w:val="0"/>
          <w:marRight w:val="0"/>
          <w:marTop w:val="0"/>
          <w:marBottom w:val="0"/>
          <w:divBdr>
            <w:top w:val="none" w:sz="0" w:space="0" w:color="auto"/>
            <w:left w:val="none" w:sz="0" w:space="0" w:color="auto"/>
            <w:bottom w:val="none" w:sz="0" w:space="0" w:color="auto"/>
            <w:right w:val="none" w:sz="0" w:space="0" w:color="auto"/>
          </w:divBdr>
          <w:divsChild>
            <w:div w:id="17907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8562">
      <w:bodyDiv w:val="1"/>
      <w:marLeft w:val="0"/>
      <w:marRight w:val="0"/>
      <w:marTop w:val="0"/>
      <w:marBottom w:val="0"/>
      <w:divBdr>
        <w:top w:val="none" w:sz="0" w:space="0" w:color="auto"/>
        <w:left w:val="none" w:sz="0" w:space="0" w:color="auto"/>
        <w:bottom w:val="none" w:sz="0" w:space="0" w:color="auto"/>
        <w:right w:val="none" w:sz="0" w:space="0" w:color="auto"/>
      </w:divBdr>
      <w:divsChild>
        <w:div w:id="1385563097">
          <w:marLeft w:val="0"/>
          <w:marRight w:val="0"/>
          <w:marTop w:val="0"/>
          <w:marBottom w:val="0"/>
          <w:divBdr>
            <w:top w:val="none" w:sz="0" w:space="0" w:color="auto"/>
            <w:left w:val="none" w:sz="0" w:space="0" w:color="auto"/>
            <w:bottom w:val="none" w:sz="0" w:space="0" w:color="auto"/>
            <w:right w:val="none" w:sz="0" w:space="0" w:color="auto"/>
          </w:divBdr>
          <w:divsChild>
            <w:div w:id="60254881">
              <w:marLeft w:val="0"/>
              <w:marRight w:val="0"/>
              <w:marTop w:val="0"/>
              <w:marBottom w:val="0"/>
              <w:divBdr>
                <w:top w:val="none" w:sz="0" w:space="0" w:color="auto"/>
                <w:left w:val="none" w:sz="0" w:space="0" w:color="auto"/>
                <w:bottom w:val="none" w:sz="0" w:space="0" w:color="auto"/>
                <w:right w:val="none" w:sz="0" w:space="0" w:color="auto"/>
              </w:divBdr>
            </w:div>
          </w:divsChild>
        </w:div>
        <w:div w:id="1637181222">
          <w:marLeft w:val="0"/>
          <w:marRight w:val="0"/>
          <w:marTop w:val="0"/>
          <w:marBottom w:val="0"/>
          <w:divBdr>
            <w:top w:val="none" w:sz="0" w:space="0" w:color="auto"/>
            <w:left w:val="none" w:sz="0" w:space="0" w:color="auto"/>
            <w:bottom w:val="none" w:sz="0" w:space="0" w:color="auto"/>
            <w:right w:val="none" w:sz="0" w:space="0" w:color="auto"/>
          </w:divBdr>
          <w:divsChild>
            <w:div w:id="400639253">
              <w:marLeft w:val="0"/>
              <w:marRight w:val="0"/>
              <w:marTop w:val="0"/>
              <w:marBottom w:val="0"/>
              <w:divBdr>
                <w:top w:val="none" w:sz="0" w:space="0" w:color="auto"/>
                <w:left w:val="none" w:sz="0" w:space="0" w:color="auto"/>
                <w:bottom w:val="none" w:sz="0" w:space="0" w:color="auto"/>
                <w:right w:val="none" w:sz="0" w:space="0" w:color="auto"/>
              </w:divBdr>
            </w:div>
          </w:divsChild>
        </w:div>
        <w:div w:id="1996492480">
          <w:marLeft w:val="0"/>
          <w:marRight w:val="0"/>
          <w:marTop w:val="0"/>
          <w:marBottom w:val="0"/>
          <w:divBdr>
            <w:top w:val="none" w:sz="0" w:space="0" w:color="auto"/>
            <w:left w:val="none" w:sz="0" w:space="0" w:color="auto"/>
            <w:bottom w:val="none" w:sz="0" w:space="0" w:color="auto"/>
            <w:right w:val="none" w:sz="0" w:space="0" w:color="auto"/>
          </w:divBdr>
          <w:divsChild>
            <w:div w:id="813449093">
              <w:marLeft w:val="0"/>
              <w:marRight w:val="0"/>
              <w:marTop w:val="0"/>
              <w:marBottom w:val="0"/>
              <w:divBdr>
                <w:top w:val="none" w:sz="0" w:space="0" w:color="auto"/>
                <w:left w:val="none" w:sz="0" w:space="0" w:color="auto"/>
                <w:bottom w:val="none" w:sz="0" w:space="0" w:color="auto"/>
                <w:right w:val="none" w:sz="0" w:space="0" w:color="auto"/>
              </w:divBdr>
            </w:div>
          </w:divsChild>
        </w:div>
        <w:div w:id="1624574136">
          <w:marLeft w:val="0"/>
          <w:marRight w:val="0"/>
          <w:marTop w:val="0"/>
          <w:marBottom w:val="0"/>
          <w:divBdr>
            <w:top w:val="none" w:sz="0" w:space="0" w:color="auto"/>
            <w:left w:val="none" w:sz="0" w:space="0" w:color="auto"/>
            <w:bottom w:val="none" w:sz="0" w:space="0" w:color="auto"/>
            <w:right w:val="none" w:sz="0" w:space="0" w:color="auto"/>
          </w:divBdr>
          <w:divsChild>
            <w:div w:id="1850021168">
              <w:marLeft w:val="0"/>
              <w:marRight w:val="0"/>
              <w:marTop w:val="0"/>
              <w:marBottom w:val="0"/>
              <w:divBdr>
                <w:top w:val="none" w:sz="0" w:space="0" w:color="auto"/>
                <w:left w:val="none" w:sz="0" w:space="0" w:color="auto"/>
                <w:bottom w:val="none" w:sz="0" w:space="0" w:color="auto"/>
                <w:right w:val="none" w:sz="0" w:space="0" w:color="auto"/>
              </w:divBdr>
            </w:div>
            <w:div w:id="1617365222">
              <w:marLeft w:val="0"/>
              <w:marRight w:val="0"/>
              <w:marTop w:val="0"/>
              <w:marBottom w:val="0"/>
              <w:divBdr>
                <w:top w:val="none" w:sz="0" w:space="0" w:color="auto"/>
                <w:left w:val="none" w:sz="0" w:space="0" w:color="auto"/>
                <w:bottom w:val="none" w:sz="0" w:space="0" w:color="auto"/>
                <w:right w:val="none" w:sz="0" w:space="0" w:color="auto"/>
              </w:divBdr>
            </w:div>
          </w:divsChild>
        </w:div>
        <w:div w:id="138152547">
          <w:marLeft w:val="0"/>
          <w:marRight w:val="0"/>
          <w:marTop w:val="0"/>
          <w:marBottom w:val="0"/>
          <w:divBdr>
            <w:top w:val="none" w:sz="0" w:space="0" w:color="auto"/>
            <w:left w:val="none" w:sz="0" w:space="0" w:color="auto"/>
            <w:bottom w:val="none" w:sz="0" w:space="0" w:color="auto"/>
            <w:right w:val="none" w:sz="0" w:space="0" w:color="auto"/>
          </w:divBdr>
          <w:divsChild>
            <w:div w:id="326977875">
              <w:marLeft w:val="0"/>
              <w:marRight w:val="0"/>
              <w:marTop w:val="0"/>
              <w:marBottom w:val="0"/>
              <w:divBdr>
                <w:top w:val="none" w:sz="0" w:space="0" w:color="auto"/>
                <w:left w:val="none" w:sz="0" w:space="0" w:color="auto"/>
                <w:bottom w:val="none" w:sz="0" w:space="0" w:color="auto"/>
                <w:right w:val="none" w:sz="0" w:space="0" w:color="auto"/>
              </w:divBdr>
            </w:div>
          </w:divsChild>
        </w:div>
        <w:div w:id="1091124264">
          <w:marLeft w:val="0"/>
          <w:marRight w:val="0"/>
          <w:marTop w:val="0"/>
          <w:marBottom w:val="0"/>
          <w:divBdr>
            <w:top w:val="none" w:sz="0" w:space="0" w:color="auto"/>
            <w:left w:val="none" w:sz="0" w:space="0" w:color="auto"/>
            <w:bottom w:val="none" w:sz="0" w:space="0" w:color="auto"/>
            <w:right w:val="none" w:sz="0" w:space="0" w:color="auto"/>
          </w:divBdr>
          <w:divsChild>
            <w:div w:id="21216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12335BAE7A3479CDDD13B3559C1B9" ma:contentTypeVersion="16" ma:contentTypeDescription="Create a new document." ma:contentTypeScope="" ma:versionID="26f49071a87b980d064a323d6c0dedd1">
  <xsd:schema xmlns:xsd="http://www.w3.org/2001/XMLSchema" xmlns:xs="http://www.w3.org/2001/XMLSchema" xmlns:p="http://schemas.microsoft.com/office/2006/metadata/properties" xmlns:ns2="489316ed-bad0-452b-9b8f-95d176ce76ab" xmlns:ns3="25ecbea3-2892-48d8-8482-ce00f74adec7" targetNamespace="http://schemas.microsoft.com/office/2006/metadata/properties" ma:root="true" ma:fieldsID="3eb36863a8ef81ad7ff2d182f7718311" ns2:_="" ns3:_="">
    <xsd:import namespace="489316ed-bad0-452b-9b8f-95d176ce76ab"/>
    <xsd:import namespace="25ecbea3-2892-48d8-8482-ce00f74ade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LengthInSeconds" minOccurs="0"/>
                <xsd:element ref="ns2:MediaServiceDateTaken"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316ed-bad0-452b-9b8f-95d176ce7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e5cc58c-648a-4728-9fa2-160b4e75552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cbea3-2892-48d8-8482-ce00f74adec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7f99a2-fdee-48e1-85c1-8f3963b7a0fb}" ma:internalName="TaxCatchAll" ma:showField="CatchAllData" ma:web="25ecbea3-2892-48d8-8482-ce00f74adec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5ecbea3-2892-48d8-8482-ce00f74adec7" xsi:nil="true"/>
    <lcf76f155ced4ddcb4097134ff3c332f xmlns="489316ed-bad0-452b-9b8f-95d176ce76ab">
      <Terms xmlns="http://schemas.microsoft.com/office/infopath/2007/PartnerControls"/>
    </lcf76f155ced4ddcb4097134ff3c332f>
    <_Flow_SignoffStatus xmlns="489316ed-bad0-452b-9b8f-95d176ce76ab" xsi:nil="true"/>
  </documentManagement>
</p:properties>
</file>

<file path=customXml/itemProps1.xml><?xml version="1.0" encoding="utf-8"?>
<ds:datastoreItem xmlns:ds="http://schemas.openxmlformats.org/officeDocument/2006/customXml" ds:itemID="{2EC14E3B-D44F-4995-B837-80EA6CFA0429}"/>
</file>

<file path=customXml/itemProps2.xml><?xml version="1.0" encoding="utf-8"?>
<ds:datastoreItem xmlns:ds="http://schemas.openxmlformats.org/officeDocument/2006/customXml" ds:itemID="{328D853A-4970-408C-ABA7-BEC28B01EC00}">
  <ds:schemaRefs>
    <ds:schemaRef ds:uri="http://schemas.microsoft.com/sharepoint/v3/contenttype/forms"/>
  </ds:schemaRefs>
</ds:datastoreItem>
</file>

<file path=customXml/itemProps3.xml><?xml version="1.0" encoding="utf-8"?>
<ds:datastoreItem xmlns:ds="http://schemas.openxmlformats.org/officeDocument/2006/customXml" ds:itemID="{C3F7182C-3C22-4B89-8D3C-7BAD285E07A0}">
  <ds:schemaRefs>
    <ds:schemaRef ds:uri="http://schemas.openxmlformats.org/officeDocument/2006/bibliography"/>
  </ds:schemaRefs>
</ds:datastoreItem>
</file>

<file path=customXml/itemProps4.xml><?xml version="1.0" encoding="utf-8"?>
<ds:datastoreItem xmlns:ds="http://schemas.openxmlformats.org/officeDocument/2006/customXml" ds:itemID="{8C22F6B2-60D3-4191-9046-72A258A75229}">
  <ds:schemaRefs>
    <ds:schemaRef ds:uri="http://schemas.microsoft.com/office/2006/metadata/properties"/>
    <ds:schemaRef ds:uri="http://schemas.microsoft.com/office/infopath/2007/PartnerControls"/>
    <ds:schemaRef ds:uri="86353bc8-26f6-44ff-b86f-47b0bee36b47"/>
    <ds:schemaRef ds:uri="0315049f-08c8-4bed-80a2-46a2923689e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Brylle L. Salazar</dc:creator>
  <cp:keywords/>
  <dc:description/>
  <cp:lastModifiedBy>Joric Timothy N. Alimon</cp:lastModifiedBy>
  <cp:revision>2</cp:revision>
  <dcterms:created xsi:type="dcterms:W3CDTF">2025-04-03T07:31:00Z</dcterms:created>
  <dcterms:modified xsi:type="dcterms:W3CDTF">2025-04-03T07:31:00Z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0x01010093412335BAE7A3479CDDD13B3559C1B9</vt:lpwstr>
  </property>
  <property fmtid="{D5CDD505-2E9C-101B-9397-08002B2CF9AE}" pid="3" name="MediaServiceImageTags">
    <vt:lpwstr/>
  </property>
</Properties>
</file>