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691003" w:rsidRDefault="000D2D94" w:rsidP="00691003">
      <w:pPr>
        <w:jc w:val="both"/>
        <w:rPr>
          <w:rFonts w:ascii="Arial" w:hAnsi="Arial" w:cs="Arial"/>
          <w:b/>
          <w:bCs/>
          <w:sz w:val="24"/>
          <w:szCs w:val="24"/>
          <w:lang w:val="en-US"/>
        </w:rPr>
      </w:pPr>
      <w:r w:rsidRPr="00691003">
        <w:rPr>
          <w:rFonts w:ascii="Arial" w:hAnsi="Arial" w:cs="Arial"/>
          <w:b/>
          <w:bCs/>
          <w:sz w:val="24"/>
          <w:szCs w:val="24"/>
          <w:lang w:val="en-US"/>
        </w:rPr>
        <w:t xml:space="preserve">Name of </w:t>
      </w:r>
      <w:proofErr w:type="gramStart"/>
      <w:r w:rsidRPr="00691003">
        <w:rPr>
          <w:rFonts w:ascii="Arial" w:hAnsi="Arial" w:cs="Arial"/>
          <w:b/>
          <w:bCs/>
          <w:sz w:val="24"/>
          <w:szCs w:val="24"/>
          <w:lang w:val="en-US"/>
        </w:rPr>
        <w:t>Stakeholder:_</w:t>
      </w:r>
      <w:proofErr w:type="gramEnd"/>
      <w:r w:rsidRPr="00691003">
        <w:rPr>
          <w:rFonts w:ascii="Arial" w:hAnsi="Arial" w:cs="Arial"/>
          <w:b/>
          <w:bCs/>
          <w:sz w:val="24"/>
          <w:szCs w:val="24"/>
          <w:lang w:val="en-US"/>
        </w:rPr>
        <w:t>__________________________</w:t>
      </w:r>
    </w:p>
    <w:p w14:paraId="3CB43890" w14:textId="560DCA8D" w:rsidR="000D2D94" w:rsidRPr="00691003" w:rsidRDefault="000D2D94" w:rsidP="00691003">
      <w:pPr>
        <w:spacing w:after="0"/>
        <w:jc w:val="both"/>
        <w:rPr>
          <w:rFonts w:ascii="Arial" w:hAnsi="Arial" w:cs="Arial"/>
          <w:b/>
          <w:bCs/>
          <w:sz w:val="24"/>
          <w:szCs w:val="24"/>
        </w:rPr>
      </w:pPr>
    </w:p>
    <w:p w14:paraId="68EAB1D8" w14:textId="586BB558" w:rsidR="000D2D94" w:rsidRDefault="00B50D99" w:rsidP="00691003">
      <w:pPr>
        <w:spacing w:after="0"/>
        <w:jc w:val="both"/>
        <w:rPr>
          <w:rFonts w:ascii="Arial" w:hAnsi="Arial" w:cs="Arial"/>
          <w:b/>
          <w:bCs/>
          <w:sz w:val="24"/>
          <w:szCs w:val="24"/>
          <w:u w:val="single"/>
        </w:rPr>
      </w:pPr>
      <w:r w:rsidRPr="00B50D99">
        <w:rPr>
          <w:rFonts w:ascii="Arial" w:hAnsi="Arial" w:cs="Arial"/>
          <w:b/>
          <w:bCs/>
          <w:sz w:val="24"/>
          <w:szCs w:val="24"/>
          <w:u w:val="single"/>
        </w:rPr>
        <w:t xml:space="preserve">WESM Manual on Billing and Settlement Issue </w:t>
      </w:r>
      <w:r w:rsidR="0071528C">
        <w:rPr>
          <w:rFonts w:ascii="Arial" w:hAnsi="Arial" w:cs="Arial"/>
          <w:b/>
          <w:bCs/>
          <w:sz w:val="24"/>
          <w:szCs w:val="24"/>
          <w:u w:val="single"/>
        </w:rPr>
        <w:t>11</w:t>
      </w:r>
      <w:r w:rsidRPr="00B50D99">
        <w:rPr>
          <w:rFonts w:ascii="Arial" w:hAnsi="Arial" w:cs="Arial"/>
          <w:b/>
          <w:bCs/>
          <w:sz w:val="24"/>
          <w:szCs w:val="24"/>
          <w:u w:val="single"/>
        </w:rPr>
        <w:t>.1</w:t>
      </w:r>
    </w:p>
    <w:p w14:paraId="295B49D9" w14:textId="77777777" w:rsidR="00B50D99" w:rsidRPr="00691003" w:rsidRDefault="00B50D99" w:rsidP="00691003">
      <w:pPr>
        <w:spacing w:after="0"/>
        <w:jc w:val="both"/>
        <w:rPr>
          <w:rFonts w:ascii="Arial" w:hAnsi="Arial" w:cs="Arial"/>
          <w:b/>
          <w:bCs/>
          <w:sz w:val="24"/>
          <w:szCs w:val="24"/>
          <w:u w:val="single"/>
        </w:rPr>
      </w:pPr>
    </w:p>
    <w:tbl>
      <w:tblPr>
        <w:tblStyle w:val="TableGrid"/>
        <w:tblW w:w="5000" w:type="pct"/>
        <w:shd w:val="clear" w:color="auto" w:fill="FFFFFF" w:themeFill="background1"/>
        <w:tblLook w:val="04A0" w:firstRow="1" w:lastRow="0" w:firstColumn="1" w:lastColumn="0" w:noHBand="0" w:noVBand="1"/>
      </w:tblPr>
      <w:tblGrid>
        <w:gridCol w:w="1585"/>
        <w:gridCol w:w="3008"/>
        <w:gridCol w:w="3955"/>
        <w:gridCol w:w="3040"/>
        <w:gridCol w:w="2843"/>
        <w:gridCol w:w="2839"/>
      </w:tblGrid>
      <w:tr w:rsidR="0071528C" w:rsidRPr="00691003" w14:paraId="597B3777" w14:textId="22237953" w:rsidTr="0071528C">
        <w:trPr>
          <w:trHeight w:val="321"/>
          <w:tblHeader/>
        </w:trPr>
        <w:tc>
          <w:tcPr>
            <w:tcW w:w="459" w:type="pct"/>
            <w:shd w:val="clear" w:color="auto" w:fill="FFFFFF" w:themeFill="background1"/>
          </w:tcPr>
          <w:p w14:paraId="0EB59AE4" w14:textId="68CC2B36" w:rsidR="000D2D94" w:rsidRPr="00691003" w:rsidRDefault="00B50D99" w:rsidP="00691003">
            <w:pPr>
              <w:jc w:val="both"/>
              <w:rPr>
                <w:rFonts w:ascii="Arial" w:hAnsi="Arial" w:cs="Arial"/>
                <w:b/>
                <w:bCs/>
                <w:sz w:val="24"/>
                <w:szCs w:val="24"/>
              </w:rPr>
            </w:pPr>
            <w:r>
              <w:rPr>
                <w:rFonts w:ascii="Arial" w:hAnsi="Arial" w:cs="Arial"/>
                <w:b/>
                <w:bCs/>
                <w:sz w:val="24"/>
                <w:szCs w:val="24"/>
              </w:rPr>
              <w:t>Section</w:t>
            </w:r>
          </w:p>
        </w:tc>
        <w:tc>
          <w:tcPr>
            <w:tcW w:w="871" w:type="pct"/>
            <w:shd w:val="clear" w:color="auto" w:fill="FFFFFF" w:themeFill="background1"/>
          </w:tcPr>
          <w:p w14:paraId="6803D420" w14:textId="77777777" w:rsidR="000D2D94" w:rsidRPr="00691003" w:rsidRDefault="000D2D94" w:rsidP="00691003">
            <w:pPr>
              <w:jc w:val="both"/>
              <w:rPr>
                <w:rFonts w:ascii="Arial" w:hAnsi="Arial" w:cs="Arial"/>
                <w:b/>
                <w:bCs/>
                <w:sz w:val="24"/>
                <w:szCs w:val="24"/>
              </w:rPr>
            </w:pPr>
            <w:r w:rsidRPr="00691003">
              <w:rPr>
                <w:rFonts w:ascii="Arial" w:hAnsi="Arial" w:cs="Arial"/>
                <w:b/>
                <w:bCs/>
                <w:sz w:val="24"/>
                <w:szCs w:val="24"/>
              </w:rPr>
              <w:t>Original Provision</w:t>
            </w:r>
          </w:p>
        </w:tc>
        <w:tc>
          <w:tcPr>
            <w:tcW w:w="1145" w:type="pct"/>
            <w:shd w:val="clear" w:color="auto" w:fill="FFFFFF" w:themeFill="background1"/>
          </w:tcPr>
          <w:p w14:paraId="75EDAB69" w14:textId="77777777" w:rsidR="000D2D94" w:rsidRPr="00691003" w:rsidRDefault="000D2D94" w:rsidP="00691003">
            <w:pPr>
              <w:jc w:val="both"/>
              <w:rPr>
                <w:rFonts w:ascii="Arial" w:hAnsi="Arial" w:cs="Arial"/>
                <w:b/>
                <w:bCs/>
                <w:sz w:val="24"/>
                <w:szCs w:val="24"/>
              </w:rPr>
            </w:pPr>
            <w:r w:rsidRPr="00691003">
              <w:rPr>
                <w:rFonts w:ascii="Arial" w:hAnsi="Arial" w:cs="Arial"/>
                <w:b/>
                <w:bCs/>
                <w:sz w:val="24"/>
                <w:szCs w:val="24"/>
              </w:rPr>
              <w:t>Proposed Amendment</w:t>
            </w:r>
          </w:p>
        </w:tc>
        <w:tc>
          <w:tcPr>
            <w:tcW w:w="880" w:type="pct"/>
            <w:shd w:val="clear" w:color="auto" w:fill="FFFFFF" w:themeFill="background1"/>
          </w:tcPr>
          <w:p w14:paraId="39D5C88A" w14:textId="77777777" w:rsidR="000D2D94" w:rsidRPr="00691003" w:rsidRDefault="000D2D94" w:rsidP="00691003">
            <w:pPr>
              <w:jc w:val="both"/>
              <w:rPr>
                <w:rFonts w:ascii="Arial" w:hAnsi="Arial" w:cs="Arial"/>
                <w:b/>
                <w:bCs/>
                <w:sz w:val="24"/>
                <w:szCs w:val="24"/>
              </w:rPr>
            </w:pPr>
            <w:r w:rsidRPr="00691003">
              <w:rPr>
                <w:rFonts w:ascii="Arial" w:hAnsi="Arial" w:cs="Arial"/>
                <w:b/>
                <w:bCs/>
                <w:sz w:val="24"/>
                <w:szCs w:val="24"/>
              </w:rPr>
              <w:t>Rationale</w:t>
            </w:r>
          </w:p>
        </w:tc>
        <w:tc>
          <w:tcPr>
            <w:tcW w:w="823" w:type="pct"/>
            <w:shd w:val="clear" w:color="auto" w:fill="FFFFFF" w:themeFill="background1"/>
            <w:vAlign w:val="center"/>
          </w:tcPr>
          <w:p w14:paraId="5D1F2900" w14:textId="77777777" w:rsidR="000D2D94" w:rsidRPr="00691003" w:rsidRDefault="000D2D94" w:rsidP="00691003">
            <w:pPr>
              <w:jc w:val="both"/>
              <w:rPr>
                <w:rFonts w:ascii="Arial" w:hAnsi="Arial" w:cs="Arial"/>
                <w:b/>
                <w:bCs/>
                <w:sz w:val="24"/>
                <w:szCs w:val="24"/>
                <w:lang w:val="en-US"/>
              </w:rPr>
            </w:pPr>
            <w:r w:rsidRPr="00691003">
              <w:rPr>
                <w:rFonts w:ascii="Arial" w:hAnsi="Arial" w:cs="Arial"/>
                <w:b/>
                <w:bCs/>
                <w:sz w:val="24"/>
                <w:szCs w:val="24"/>
                <w:lang w:val="en-US"/>
              </w:rPr>
              <w:t xml:space="preserve"> Comment / </w:t>
            </w:r>
          </w:p>
          <w:p w14:paraId="3D2077B9" w14:textId="0F74BAF2" w:rsidR="000D2D94" w:rsidRPr="00691003" w:rsidRDefault="000D2D94" w:rsidP="00691003">
            <w:pPr>
              <w:jc w:val="both"/>
              <w:rPr>
                <w:rFonts w:ascii="Arial" w:hAnsi="Arial" w:cs="Arial"/>
                <w:b/>
                <w:bCs/>
                <w:sz w:val="24"/>
                <w:szCs w:val="24"/>
              </w:rPr>
            </w:pPr>
            <w:r w:rsidRPr="00691003">
              <w:rPr>
                <w:rFonts w:ascii="Arial" w:hAnsi="Arial" w:cs="Arial"/>
                <w:b/>
                <w:bCs/>
                <w:sz w:val="24"/>
                <w:szCs w:val="24"/>
                <w:lang w:val="en-US"/>
              </w:rPr>
              <w:t>Proposed Revision</w:t>
            </w:r>
          </w:p>
        </w:tc>
        <w:tc>
          <w:tcPr>
            <w:tcW w:w="822" w:type="pct"/>
            <w:shd w:val="clear" w:color="auto" w:fill="FFFFFF" w:themeFill="background1"/>
            <w:vAlign w:val="center"/>
          </w:tcPr>
          <w:p w14:paraId="45F22FC8" w14:textId="0C349681" w:rsidR="000D2D94" w:rsidRPr="00691003" w:rsidRDefault="000D2D94" w:rsidP="00691003">
            <w:pPr>
              <w:jc w:val="both"/>
              <w:rPr>
                <w:rFonts w:ascii="Arial" w:hAnsi="Arial" w:cs="Arial"/>
                <w:b/>
                <w:bCs/>
                <w:sz w:val="24"/>
                <w:szCs w:val="24"/>
              </w:rPr>
            </w:pPr>
            <w:r w:rsidRPr="00691003">
              <w:rPr>
                <w:rFonts w:ascii="Arial" w:hAnsi="Arial" w:cs="Arial"/>
                <w:b/>
                <w:bCs/>
                <w:sz w:val="24"/>
                <w:szCs w:val="24"/>
                <w:lang w:val="en-US"/>
              </w:rPr>
              <w:t>Rationale</w:t>
            </w:r>
          </w:p>
        </w:tc>
      </w:tr>
      <w:tr w:rsidR="0071528C" w:rsidRPr="00691003" w14:paraId="2012FF4C" w14:textId="771FE232" w:rsidTr="0071528C">
        <w:tc>
          <w:tcPr>
            <w:tcW w:w="459" w:type="pct"/>
          </w:tcPr>
          <w:p w14:paraId="53EB85C8" w14:textId="77777777" w:rsidR="0071528C" w:rsidRPr="00FF4C0B" w:rsidRDefault="0071528C" w:rsidP="0071528C">
            <w:pPr>
              <w:rPr>
                <w:rFonts w:ascii="Arial" w:hAnsi="Arial" w:cs="Arial"/>
              </w:rPr>
            </w:pPr>
            <w:r w:rsidRPr="00FF4C0B">
              <w:rPr>
                <w:rFonts w:ascii="Arial" w:hAnsi="Arial" w:cs="Arial"/>
              </w:rPr>
              <w:t>10.3</w:t>
            </w:r>
          </w:p>
          <w:p w14:paraId="531A07BD" w14:textId="21F1556B" w:rsidR="0071528C" w:rsidRPr="00691003" w:rsidRDefault="0071528C" w:rsidP="0071528C">
            <w:pPr>
              <w:jc w:val="both"/>
              <w:rPr>
                <w:rFonts w:ascii="Arial" w:hAnsi="Arial" w:cs="Arial"/>
                <w:sz w:val="24"/>
                <w:szCs w:val="24"/>
              </w:rPr>
            </w:pPr>
          </w:p>
        </w:tc>
        <w:tc>
          <w:tcPr>
            <w:tcW w:w="871" w:type="pct"/>
          </w:tcPr>
          <w:p w14:paraId="0D7822AD" w14:textId="77777777" w:rsidR="0071528C" w:rsidRPr="00FF4C0B" w:rsidRDefault="0071528C" w:rsidP="0071528C">
            <w:pPr>
              <w:rPr>
                <w:rFonts w:ascii="Arial" w:hAnsi="Arial" w:cs="Arial"/>
              </w:rPr>
            </w:pPr>
            <w:r w:rsidRPr="00FF4C0B">
              <w:rPr>
                <w:rFonts w:ascii="Arial" w:hAnsi="Arial" w:cs="Arial"/>
              </w:rPr>
              <w:t xml:space="preserve">10.3.3 The scheduled generation of a </w:t>
            </w:r>
            <w:r w:rsidRPr="00FF4C0B">
              <w:rPr>
                <w:rFonts w:ascii="Arial" w:hAnsi="Arial" w:cs="Arial"/>
                <w:i/>
                <w:iCs/>
              </w:rPr>
              <w:t xml:space="preserve">generating unit </w:t>
            </w:r>
            <w:r w:rsidRPr="00FF4C0B">
              <w:rPr>
                <w:rFonts w:ascii="Arial" w:hAnsi="Arial" w:cs="Arial"/>
              </w:rPr>
              <w:t>that filed a claim for additional compensation shall be calculated using the following formulas:</w:t>
            </w:r>
          </w:p>
          <w:p w14:paraId="54D6F23B" w14:textId="77777777" w:rsidR="0071528C" w:rsidRPr="00FF4C0B" w:rsidRDefault="0071528C" w:rsidP="0071528C">
            <w:pPr>
              <w:rPr>
                <w:rFonts w:ascii="Arial" w:hAnsi="Arial" w:cs="Arial"/>
              </w:rPr>
            </w:pPr>
            <w:r w:rsidRPr="00FF4C0B">
              <w:rPr>
                <w:rFonts w:ascii="Arial" w:hAnsi="Arial" w:cs="Arial"/>
              </w:rPr>
              <w:t xml:space="preserve">a) If due to declaration of </w:t>
            </w:r>
            <w:r w:rsidRPr="00FF4C0B">
              <w:rPr>
                <w:rFonts w:ascii="Arial" w:hAnsi="Arial" w:cs="Arial"/>
                <w:i/>
                <w:iCs/>
              </w:rPr>
              <w:t>market suspension</w:t>
            </w:r>
            <w:r w:rsidRPr="00FF4C0B">
              <w:rPr>
                <w:rFonts w:ascii="Arial" w:hAnsi="Arial" w:cs="Arial"/>
              </w:rPr>
              <w:t xml:space="preserve"> or </w:t>
            </w:r>
            <w:r w:rsidRPr="00FF4C0B">
              <w:rPr>
                <w:rFonts w:ascii="Arial" w:hAnsi="Arial" w:cs="Arial"/>
                <w:i/>
                <w:iCs/>
              </w:rPr>
              <w:t>market intervention</w:t>
            </w:r>
            <w:r w:rsidRPr="00FF4C0B">
              <w:rPr>
                <w:rFonts w:ascii="Arial" w:hAnsi="Arial" w:cs="Arial"/>
              </w:rPr>
              <w:t>,</w:t>
            </w:r>
          </w:p>
          <w:p w14:paraId="5517A1CA" w14:textId="77777777" w:rsidR="0071528C" w:rsidRPr="00FF4C0B" w:rsidRDefault="0071528C" w:rsidP="0071528C">
            <w:pPr>
              <w:rPr>
                <w:rFonts w:ascii="Arial" w:hAnsi="Arial" w:cs="Arial"/>
              </w:rPr>
            </w:pPr>
            <m:oMathPara>
              <m:oMath>
                <m:sSub>
                  <m:sSubPr>
                    <m:ctrlPr>
                      <w:rPr>
                        <w:rFonts w:ascii="Cambria Math" w:hAnsi="Cambria Math" w:cs="Arial"/>
                        <w:i/>
                      </w:rPr>
                    </m:ctrlPr>
                  </m:sSubPr>
                  <m:e>
                    <m:r>
                      <w:rPr>
                        <w:rFonts w:ascii="Cambria Math" w:hAnsi="Cambria Math" w:cs="Arial"/>
                      </w:rPr>
                      <m:t>SG</m:t>
                    </m:r>
                  </m:e>
                  <m:sub>
                    <m:r>
                      <w:rPr>
                        <w:rFonts w:ascii="Cambria Math" w:hAnsi="Cambria Math" w:cs="Arial"/>
                      </w:rPr>
                      <m:t>g, i</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DT</m:t>
                        </m:r>
                      </m:e>
                      <m:sub>
                        <m:r>
                          <w:rPr>
                            <w:rFonts w:ascii="Cambria Math" w:hAnsi="Cambria Math" w:cs="Arial"/>
                          </w:rPr>
                          <m:t>g,i-1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DT</m:t>
                        </m:r>
                      </m:e>
                      <m:sub>
                        <m:r>
                          <w:rPr>
                            <w:rFonts w:ascii="Cambria Math" w:hAnsi="Cambria Math" w:cs="Arial"/>
                          </w:rPr>
                          <m:t>g,i</m:t>
                        </m:r>
                      </m:sub>
                    </m:sSub>
                  </m:num>
                  <m:den>
                    <m:r>
                      <w:rPr>
                        <w:rFonts w:ascii="Cambria Math" w:hAnsi="Cambria Math" w:cs="Arial"/>
                      </w:rPr>
                      <m:t>2</m:t>
                    </m:r>
                  </m:den>
                </m:f>
                <m:r>
                  <w:rPr>
                    <w:rFonts w:ascii="Cambria Math" w:hAnsi="Cambria Math" w:cs="Arial"/>
                  </w:rPr>
                  <m:t xml:space="preserve"> x </m:t>
                </m:r>
                <m:f>
                  <m:fPr>
                    <m:ctrlPr>
                      <w:rPr>
                        <w:rFonts w:ascii="Cambria Math" w:hAnsi="Cambria Math" w:cs="Arial"/>
                        <w:i/>
                      </w:rPr>
                    </m:ctrlPr>
                  </m:fPr>
                  <m:num>
                    <m:r>
                      <w:rPr>
                        <w:rFonts w:ascii="Cambria Math" w:hAnsi="Cambria Math" w:cs="Arial"/>
                      </w:rPr>
                      <m:t>1</m:t>
                    </m:r>
                  </m:num>
                  <m:den>
                    <m:r>
                      <w:rPr>
                        <w:rFonts w:ascii="Cambria Math" w:hAnsi="Cambria Math" w:cs="Arial"/>
                      </w:rPr>
                      <m:t>12</m:t>
                    </m:r>
                  </m:den>
                </m:f>
              </m:oMath>
            </m:oMathPara>
          </w:p>
          <w:p w14:paraId="06A6B2DB" w14:textId="77777777" w:rsidR="0071528C" w:rsidRPr="00FF4C0B" w:rsidRDefault="0071528C" w:rsidP="0071528C">
            <w:pPr>
              <w:rPr>
                <w:rFonts w:ascii="Arial" w:hAnsi="Arial" w:cs="Arial"/>
              </w:rPr>
            </w:pPr>
          </w:p>
          <w:p w14:paraId="44282153" w14:textId="77777777" w:rsidR="0071528C" w:rsidRPr="00FF4C0B" w:rsidRDefault="0071528C" w:rsidP="0071528C">
            <w:pPr>
              <w:rPr>
                <w:rFonts w:ascii="Arial" w:hAnsi="Arial" w:cs="Arial"/>
              </w:rPr>
            </w:pPr>
            <w:proofErr w:type="spellStart"/>
            <w:r w:rsidRPr="00FF4C0B">
              <w:rPr>
                <w:rFonts w:ascii="Arial" w:hAnsi="Arial" w:cs="Arial"/>
              </w:rPr>
              <w:t>xxxx</w:t>
            </w:r>
            <w:proofErr w:type="spellEnd"/>
          </w:p>
          <w:p w14:paraId="5293359B" w14:textId="77777777" w:rsidR="0071528C" w:rsidRPr="00FF4C0B" w:rsidRDefault="0071528C" w:rsidP="0071528C">
            <w:pPr>
              <w:rPr>
                <w:rFonts w:ascii="Arial" w:hAnsi="Arial" w:cs="Arial"/>
              </w:rPr>
            </w:pPr>
            <w:r w:rsidRPr="00FF4C0B">
              <w:rPr>
                <w:rFonts w:ascii="Arial" w:hAnsi="Arial" w:cs="Arial"/>
              </w:rPr>
              <w:t>Where:</w:t>
            </w:r>
          </w:p>
          <w:p w14:paraId="747C6DF2" w14:textId="77777777" w:rsidR="0071528C" w:rsidRPr="00FF4C0B" w:rsidRDefault="0071528C" w:rsidP="0071528C">
            <w:pPr>
              <w:rPr>
                <w:rFonts w:ascii="Arial" w:hAnsi="Arial" w:cs="Arial"/>
              </w:rPr>
            </w:pPr>
            <w:proofErr w:type="spellStart"/>
            <w:r w:rsidRPr="00FF4C0B">
              <w:rPr>
                <w:rFonts w:ascii="Arial" w:hAnsi="Arial" w:cs="Arial"/>
              </w:rPr>
              <w:t>xxxx</w:t>
            </w:r>
            <w:proofErr w:type="spellEnd"/>
          </w:p>
          <w:p w14:paraId="6492D9AB" w14:textId="77777777" w:rsidR="0071528C" w:rsidRPr="00FF4C0B" w:rsidRDefault="0071528C" w:rsidP="0071528C">
            <w:pPr>
              <w:rPr>
                <w:rFonts w:ascii="Arial" w:hAnsi="Arial" w:cs="Arial"/>
                <w:i/>
                <w:iCs/>
              </w:rPr>
            </w:pPr>
            <m:oMath>
              <m:sSub>
                <m:sSubPr>
                  <m:ctrlPr>
                    <w:rPr>
                      <w:rFonts w:ascii="Cambria Math" w:hAnsi="Cambria Math" w:cs="Arial"/>
                      <w:i/>
                    </w:rPr>
                  </m:ctrlPr>
                </m:sSubPr>
                <m:e>
                  <m:r>
                    <w:rPr>
                      <w:rFonts w:ascii="Cambria Math" w:hAnsi="Cambria Math" w:cs="Arial"/>
                    </w:rPr>
                    <m:t>DI</m:t>
                  </m:r>
                </m:e>
                <m:sub>
                  <m:r>
                    <w:rPr>
                      <w:rFonts w:ascii="Cambria Math" w:hAnsi="Cambria Math" w:cs="Arial"/>
                    </w:rPr>
                    <m:t>g,i</m:t>
                  </m:r>
                </m:sub>
              </m:sSub>
            </m:oMath>
            <w:r w:rsidRPr="00FF4C0B">
              <w:rPr>
                <w:rFonts w:ascii="Arial" w:hAnsi="Arial" w:cs="Arial"/>
              </w:rPr>
              <w:t xml:space="preserve"> refers to the most recent </w:t>
            </w:r>
            <w:r w:rsidRPr="00FF4C0B">
              <w:rPr>
                <w:rFonts w:ascii="Arial" w:hAnsi="Arial" w:cs="Arial"/>
                <w:i/>
                <w:iCs/>
              </w:rPr>
              <w:t xml:space="preserve">dispatch instruction </w:t>
            </w:r>
            <w:r w:rsidRPr="00FF4C0B">
              <w:rPr>
                <w:rFonts w:ascii="Arial" w:hAnsi="Arial" w:cs="Arial"/>
              </w:rPr>
              <w:t xml:space="preserve">from the </w:t>
            </w:r>
            <w:r w:rsidRPr="00FF4C0B">
              <w:rPr>
                <w:rFonts w:ascii="Arial" w:hAnsi="Arial" w:cs="Arial"/>
                <w:i/>
                <w:iCs/>
              </w:rPr>
              <w:t>System Operator</w:t>
            </w:r>
            <w:r w:rsidRPr="00FF4C0B">
              <w:rPr>
                <w:rFonts w:ascii="Arial" w:hAnsi="Arial" w:cs="Arial"/>
              </w:rPr>
              <w:t xml:space="preserve"> received by </w:t>
            </w:r>
            <w:r w:rsidRPr="00FF4C0B">
              <w:rPr>
                <w:rFonts w:ascii="Arial" w:hAnsi="Arial" w:cs="Arial"/>
                <w:i/>
                <w:iCs/>
              </w:rPr>
              <w:t>generating unit g</w:t>
            </w:r>
            <w:r w:rsidRPr="00FF4C0B">
              <w:rPr>
                <w:rFonts w:ascii="Arial" w:hAnsi="Arial" w:cs="Arial"/>
              </w:rPr>
              <w:t xml:space="preserve"> for </w:t>
            </w:r>
            <w:r w:rsidRPr="00FF4C0B">
              <w:rPr>
                <w:rFonts w:ascii="Arial" w:hAnsi="Arial" w:cs="Arial"/>
                <w:i/>
                <w:iCs/>
              </w:rPr>
              <w:t xml:space="preserve">dispatch interval </w:t>
            </w:r>
            <w:proofErr w:type="spellStart"/>
            <w:r w:rsidRPr="00FF4C0B">
              <w:rPr>
                <w:rFonts w:ascii="Arial" w:hAnsi="Arial" w:cs="Arial"/>
                <w:i/>
                <w:iCs/>
              </w:rPr>
              <w:t>i</w:t>
            </w:r>
            <w:proofErr w:type="spellEnd"/>
          </w:p>
          <w:p w14:paraId="47D25D2B" w14:textId="4F9BEC2D" w:rsidR="0071528C" w:rsidRPr="00691003" w:rsidRDefault="0071528C" w:rsidP="0071528C">
            <w:pPr>
              <w:jc w:val="both"/>
              <w:rPr>
                <w:rFonts w:ascii="Arial" w:hAnsi="Arial" w:cs="Arial"/>
                <w:sz w:val="24"/>
                <w:szCs w:val="24"/>
              </w:rPr>
            </w:pPr>
          </w:p>
        </w:tc>
        <w:tc>
          <w:tcPr>
            <w:tcW w:w="1145" w:type="pct"/>
          </w:tcPr>
          <w:p w14:paraId="70B55F97" w14:textId="77777777" w:rsidR="0071528C" w:rsidRPr="00FF4C0B" w:rsidRDefault="0071528C" w:rsidP="0071528C">
            <w:pPr>
              <w:rPr>
                <w:rFonts w:ascii="Arial" w:hAnsi="Arial" w:cs="Arial"/>
              </w:rPr>
            </w:pPr>
            <w:r w:rsidRPr="00FF4C0B">
              <w:rPr>
                <w:rFonts w:ascii="Arial" w:hAnsi="Arial" w:cs="Arial"/>
              </w:rPr>
              <w:t xml:space="preserve">10.3.3 The scheduled generation of a </w:t>
            </w:r>
            <w:r w:rsidRPr="00FF4C0B">
              <w:rPr>
                <w:rFonts w:ascii="Arial" w:hAnsi="Arial" w:cs="Arial"/>
                <w:i/>
                <w:iCs/>
              </w:rPr>
              <w:t xml:space="preserve">generating unit </w:t>
            </w:r>
            <w:r w:rsidRPr="00FF4C0B">
              <w:rPr>
                <w:rFonts w:ascii="Arial" w:hAnsi="Arial" w:cs="Arial"/>
              </w:rPr>
              <w:t>that filed a claim for additional compensation shall be calculated using the following formulas:</w:t>
            </w:r>
          </w:p>
          <w:p w14:paraId="79212853" w14:textId="77777777" w:rsidR="0071528C" w:rsidRPr="00FF4C0B" w:rsidRDefault="0071528C" w:rsidP="0071528C">
            <w:pPr>
              <w:rPr>
                <w:rFonts w:ascii="Arial" w:hAnsi="Arial" w:cs="Arial"/>
              </w:rPr>
            </w:pPr>
            <w:r w:rsidRPr="00FF4C0B">
              <w:rPr>
                <w:rFonts w:ascii="Arial" w:hAnsi="Arial" w:cs="Arial"/>
              </w:rPr>
              <w:t xml:space="preserve">a) If due to declaration of </w:t>
            </w:r>
            <w:r w:rsidRPr="00FF4C0B">
              <w:rPr>
                <w:rFonts w:ascii="Arial" w:hAnsi="Arial" w:cs="Arial"/>
                <w:i/>
                <w:iCs/>
              </w:rPr>
              <w:t>market suspension</w:t>
            </w:r>
            <w:r w:rsidRPr="00FF4C0B">
              <w:rPr>
                <w:rFonts w:ascii="Arial" w:hAnsi="Arial" w:cs="Arial"/>
              </w:rPr>
              <w:t xml:space="preserve"> or </w:t>
            </w:r>
            <w:r w:rsidRPr="00FF4C0B">
              <w:rPr>
                <w:rFonts w:ascii="Arial" w:hAnsi="Arial" w:cs="Arial"/>
                <w:i/>
                <w:iCs/>
              </w:rPr>
              <w:t>market intervention</w:t>
            </w:r>
            <w:r w:rsidRPr="00FF4C0B">
              <w:rPr>
                <w:rFonts w:ascii="Arial" w:hAnsi="Arial" w:cs="Arial"/>
              </w:rPr>
              <w:t>,</w:t>
            </w:r>
          </w:p>
          <w:p w14:paraId="0814FDC1" w14:textId="77777777" w:rsidR="0071528C" w:rsidRPr="00FF4C0B" w:rsidRDefault="0071528C" w:rsidP="0071528C">
            <w:pPr>
              <w:rPr>
                <w:rFonts w:ascii="Arial" w:hAnsi="Arial" w:cs="Arial"/>
                <w:strike/>
              </w:rPr>
            </w:pPr>
            <m:oMathPara>
              <m:oMath>
                <m:sSub>
                  <m:sSubPr>
                    <m:ctrlPr>
                      <w:rPr>
                        <w:rFonts w:ascii="Cambria Math" w:hAnsi="Cambria Math" w:cs="Arial"/>
                        <w:i/>
                        <w:strike/>
                      </w:rPr>
                    </m:ctrlPr>
                  </m:sSubPr>
                  <m:e>
                    <m:r>
                      <w:rPr>
                        <w:rFonts w:ascii="Cambria Math" w:hAnsi="Cambria Math" w:cs="Arial"/>
                        <w:strike/>
                      </w:rPr>
                      <m:t>SG</m:t>
                    </m:r>
                  </m:e>
                  <m:sub>
                    <m:r>
                      <w:rPr>
                        <w:rFonts w:ascii="Cambria Math" w:hAnsi="Cambria Math" w:cs="Arial"/>
                        <w:strike/>
                      </w:rPr>
                      <m:t>g, i</m:t>
                    </m:r>
                  </m:sub>
                </m:sSub>
                <m:r>
                  <w:rPr>
                    <w:rFonts w:ascii="Cambria Math" w:hAnsi="Cambria Math" w:cs="Arial"/>
                    <w:strike/>
                  </w:rPr>
                  <m:t xml:space="preserve">= </m:t>
                </m:r>
                <m:f>
                  <m:fPr>
                    <m:ctrlPr>
                      <w:rPr>
                        <w:rFonts w:ascii="Cambria Math" w:hAnsi="Cambria Math" w:cs="Arial"/>
                        <w:i/>
                        <w:strike/>
                      </w:rPr>
                    </m:ctrlPr>
                  </m:fPr>
                  <m:num>
                    <m:sSub>
                      <m:sSubPr>
                        <m:ctrlPr>
                          <w:rPr>
                            <w:rFonts w:ascii="Cambria Math" w:hAnsi="Cambria Math" w:cs="Arial"/>
                            <w:i/>
                            <w:strike/>
                          </w:rPr>
                        </m:ctrlPr>
                      </m:sSubPr>
                      <m:e>
                        <m:r>
                          <w:rPr>
                            <w:rFonts w:ascii="Cambria Math" w:hAnsi="Cambria Math" w:cs="Arial"/>
                            <w:strike/>
                          </w:rPr>
                          <m:t>DT</m:t>
                        </m:r>
                      </m:e>
                      <m:sub>
                        <m:r>
                          <w:rPr>
                            <w:rFonts w:ascii="Cambria Math" w:hAnsi="Cambria Math" w:cs="Arial"/>
                            <w:strike/>
                          </w:rPr>
                          <m:t>g,i-1</m:t>
                        </m:r>
                      </m:sub>
                    </m:sSub>
                    <m:r>
                      <w:rPr>
                        <w:rFonts w:ascii="Cambria Math" w:hAnsi="Cambria Math" w:cs="Arial"/>
                        <w:strike/>
                      </w:rPr>
                      <m:t xml:space="preserve">+ </m:t>
                    </m:r>
                    <m:sSub>
                      <m:sSubPr>
                        <m:ctrlPr>
                          <w:rPr>
                            <w:rFonts w:ascii="Cambria Math" w:hAnsi="Cambria Math" w:cs="Arial"/>
                            <w:i/>
                            <w:strike/>
                          </w:rPr>
                        </m:ctrlPr>
                      </m:sSubPr>
                      <m:e>
                        <m:r>
                          <w:rPr>
                            <w:rFonts w:ascii="Cambria Math" w:hAnsi="Cambria Math" w:cs="Arial"/>
                            <w:strike/>
                          </w:rPr>
                          <m:t>DT</m:t>
                        </m:r>
                      </m:e>
                      <m:sub>
                        <m:r>
                          <w:rPr>
                            <w:rFonts w:ascii="Cambria Math" w:hAnsi="Cambria Math" w:cs="Arial"/>
                            <w:strike/>
                          </w:rPr>
                          <m:t>g,i</m:t>
                        </m:r>
                      </m:sub>
                    </m:sSub>
                  </m:num>
                  <m:den>
                    <m:r>
                      <w:rPr>
                        <w:rFonts w:ascii="Cambria Math" w:hAnsi="Cambria Math" w:cs="Arial"/>
                        <w:strike/>
                      </w:rPr>
                      <m:t>2</m:t>
                    </m:r>
                  </m:den>
                </m:f>
                <m:r>
                  <w:rPr>
                    <w:rFonts w:ascii="Cambria Math" w:hAnsi="Cambria Math" w:cs="Arial"/>
                    <w:strike/>
                  </w:rPr>
                  <m:t xml:space="preserve"> x </m:t>
                </m:r>
                <m:f>
                  <m:fPr>
                    <m:ctrlPr>
                      <w:rPr>
                        <w:rFonts w:ascii="Cambria Math" w:hAnsi="Cambria Math" w:cs="Arial"/>
                        <w:i/>
                        <w:strike/>
                      </w:rPr>
                    </m:ctrlPr>
                  </m:fPr>
                  <m:num>
                    <m:r>
                      <w:rPr>
                        <w:rFonts w:ascii="Cambria Math" w:hAnsi="Cambria Math" w:cs="Arial"/>
                        <w:strike/>
                      </w:rPr>
                      <m:t>1</m:t>
                    </m:r>
                  </m:num>
                  <m:den>
                    <m:r>
                      <w:rPr>
                        <w:rFonts w:ascii="Cambria Math" w:hAnsi="Cambria Math" w:cs="Arial"/>
                        <w:strike/>
                      </w:rPr>
                      <m:t>12</m:t>
                    </m:r>
                  </m:den>
                </m:f>
              </m:oMath>
            </m:oMathPara>
          </w:p>
          <w:p w14:paraId="2857837F" w14:textId="77777777" w:rsidR="0071528C" w:rsidRPr="00FF4C0B" w:rsidRDefault="0071528C" w:rsidP="0071528C">
            <w:pPr>
              <w:rPr>
                <w:rFonts w:ascii="Arial" w:hAnsi="Arial" w:cs="Arial"/>
                <w:b/>
                <w:bCs/>
              </w:rPr>
            </w:pPr>
            <m:oMathPara>
              <m:oMath>
                <m:sSub>
                  <m:sSubPr>
                    <m:ctrlPr>
                      <w:rPr>
                        <w:rFonts w:ascii="Cambria Math" w:hAnsi="Cambria Math" w:cs="Arial"/>
                        <w:b/>
                        <w:bCs/>
                        <w:i/>
                      </w:rPr>
                    </m:ctrlPr>
                  </m:sSubPr>
                  <m:e>
                    <m:r>
                      <m:rPr>
                        <m:sty m:val="bi"/>
                      </m:rPr>
                      <w:rPr>
                        <w:rFonts w:ascii="Cambria Math" w:hAnsi="Cambria Math" w:cs="Arial"/>
                      </w:rPr>
                      <m:t>SG</m:t>
                    </m:r>
                  </m:e>
                  <m:sub>
                    <m:r>
                      <m:rPr>
                        <m:sty m:val="bi"/>
                      </m:rPr>
                      <w:rPr>
                        <w:rFonts w:ascii="Cambria Math" w:hAnsi="Cambria Math" w:cs="Arial"/>
                      </w:rPr>
                      <m:t>g, i</m:t>
                    </m:r>
                  </m:sub>
                </m:sSub>
                <m:r>
                  <m:rPr>
                    <m:sty m:val="bi"/>
                  </m:rPr>
                  <w:rPr>
                    <w:rFonts w:ascii="Cambria Math" w:hAnsi="Cambria Math" w:cs="Arial"/>
                  </w:rPr>
                  <m:t xml:space="preserve">=  </m:t>
                </m:r>
                <m:f>
                  <m:fPr>
                    <m:ctrlPr>
                      <w:rPr>
                        <w:rFonts w:ascii="Cambria Math" w:hAnsi="Cambria Math" w:cs="Arial"/>
                        <w:b/>
                        <w:bCs/>
                        <w:i/>
                      </w:rPr>
                    </m:ctrlPr>
                  </m:fPr>
                  <m:num>
                    <m:sSub>
                      <m:sSubPr>
                        <m:ctrlPr>
                          <w:rPr>
                            <w:rFonts w:ascii="Cambria Math" w:hAnsi="Cambria Math" w:cs="Arial"/>
                            <w:b/>
                            <w:bCs/>
                            <w:i/>
                          </w:rPr>
                        </m:ctrlPr>
                      </m:sSubPr>
                      <m:e>
                        <m:r>
                          <m:rPr>
                            <m:sty m:val="bi"/>
                          </m:rPr>
                          <w:rPr>
                            <w:rFonts w:ascii="Cambria Math" w:hAnsi="Cambria Math" w:cs="Arial"/>
                          </w:rPr>
                          <m:t>DI</m:t>
                        </m:r>
                      </m:e>
                      <m:sub>
                        <m:r>
                          <m:rPr>
                            <m:sty m:val="bi"/>
                          </m:rPr>
                          <w:rPr>
                            <w:rFonts w:ascii="Cambria Math" w:hAnsi="Cambria Math" w:cs="Arial"/>
                          </w:rPr>
                          <m:t>g,i</m:t>
                        </m:r>
                      </m:sub>
                    </m:sSub>
                  </m:num>
                  <m:den>
                    <m:r>
                      <m:rPr>
                        <m:sty m:val="bi"/>
                      </m:rPr>
                      <w:rPr>
                        <w:rFonts w:ascii="Cambria Math" w:hAnsi="Cambria Math" w:cs="Arial"/>
                      </w:rPr>
                      <m:t>12</m:t>
                    </m:r>
                  </m:den>
                </m:f>
              </m:oMath>
            </m:oMathPara>
          </w:p>
          <w:p w14:paraId="405C6352" w14:textId="77777777" w:rsidR="0071528C" w:rsidRPr="00FF4C0B" w:rsidRDefault="0071528C" w:rsidP="0071528C">
            <w:pPr>
              <w:rPr>
                <w:rFonts w:ascii="Arial" w:hAnsi="Arial" w:cs="Arial"/>
              </w:rPr>
            </w:pPr>
          </w:p>
          <w:p w14:paraId="335B25DE" w14:textId="77777777" w:rsidR="0071528C" w:rsidRPr="00FF4C0B" w:rsidRDefault="0071528C" w:rsidP="0071528C">
            <w:pPr>
              <w:rPr>
                <w:rFonts w:ascii="Arial" w:hAnsi="Arial" w:cs="Arial"/>
              </w:rPr>
            </w:pPr>
            <w:proofErr w:type="spellStart"/>
            <w:r w:rsidRPr="00FF4C0B">
              <w:rPr>
                <w:rFonts w:ascii="Arial" w:hAnsi="Arial" w:cs="Arial"/>
              </w:rPr>
              <w:t>xxxx</w:t>
            </w:r>
            <w:proofErr w:type="spellEnd"/>
          </w:p>
          <w:p w14:paraId="4AC890C3" w14:textId="77777777" w:rsidR="0071528C" w:rsidRPr="00FF4C0B" w:rsidRDefault="0071528C" w:rsidP="0071528C">
            <w:pPr>
              <w:rPr>
                <w:rFonts w:ascii="Arial" w:hAnsi="Arial" w:cs="Arial"/>
              </w:rPr>
            </w:pPr>
            <w:r w:rsidRPr="00FF4C0B">
              <w:rPr>
                <w:rFonts w:ascii="Arial" w:hAnsi="Arial" w:cs="Arial"/>
              </w:rPr>
              <w:t>Where:</w:t>
            </w:r>
          </w:p>
          <w:p w14:paraId="0B665DE3" w14:textId="77777777" w:rsidR="0071528C" w:rsidRPr="00FF4C0B" w:rsidRDefault="0071528C" w:rsidP="0071528C">
            <w:pPr>
              <w:rPr>
                <w:rFonts w:ascii="Arial" w:hAnsi="Arial" w:cs="Arial"/>
              </w:rPr>
            </w:pPr>
            <w:proofErr w:type="spellStart"/>
            <w:r w:rsidRPr="00FF4C0B">
              <w:rPr>
                <w:rFonts w:ascii="Arial" w:hAnsi="Arial" w:cs="Arial"/>
              </w:rPr>
              <w:t>xxxx</w:t>
            </w:r>
            <w:proofErr w:type="spellEnd"/>
          </w:p>
          <w:p w14:paraId="712C8728" w14:textId="77777777" w:rsidR="0071528C" w:rsidRPr="00FF4C0B" w:rsidRDefault="0071528C" w:rsidP="0071528C">
            <w:pPr>
              <w:rPr>
                <w:rFonts w:ascii="Arial" w:hAnsi="Arial" w:cs="Arial"/>
              </w:rPr>
            </w:pPr>
            <m:oMath>
              <m:sSub>
                <m:sSubPr>
                  <m:ctrlPr>
                    <w:rPr>
                      <w:rFonts w:ascii="Cambria Math" w:hAnsi="Cambria Math" w:cs="Arial"/>
                      <w:i/>
                    </w:rPr>
                  </m:ctrlPr>
                </m:sSubPr>
                <m:e>
                  <m:r>
                    <w:rPr>
                      <w:rFonts w:ascii="Cambria Math" w:hAnsi="Cambria Math" w:cs="Arial"/>
                    </w:rPr>
                    <m:t>DI</m:t>
                  </m:r>
                </m:e>
                <m:sub>
                  <m:r>
                    <w:rPr>
                      <w:rFonts w:ascii="Cambria Math" w:hAnsi="Cambria Math" w:cs="Arial"/>
                    </w:rPr>
                    <m:t>g,i</m:t>
                  </m:r>
                </m:sub>
              </m:sSub>
            </m:oMath>
            <w:r w:rsidRPr="00FF4C0B">
              <w:rPr>
                <w:rFonts w:ascii="Arial" w:hAnsi="Arial" w:cs="Arial"/>
              </w:rPr>
              <w:t xml:space="preserve"> refers to the most recent </w:t>
            </w:r>
            <w:r w:rsidRPr="00FF4C0B">
              <w:rPr>
                <w:rFonts w:ascii="Arial" w:hAnsi="Arial" w:cs="Arial"/>
                <w:i/>
                <w:iCs/>
              </w:rPr>
              <w:t>dispatch instruction</w:t>
            </w:r>
            <w:r w:rsidRPr="00FF4C0B">
              <w:rPr>
                <w:rFonts w:ascii="Arial" w:hAnsi="Arial" w:cs="Arial"/>
              </w:rPr>
              <w:t xml:space="preserve"> from the </w:t>
            </w:r>
            <w:r w:rsidRPr="00FF4C0B">
              <w:rPr>
                <w:rFonts w:ascii="Arial" w:hAnsi="Arial" w:cs="Arial"/>
                <w:i/>
                <w:iCs/>
              </w:rPr>
              <w:t>System Operator</w:t>
            </w:r>
            <w:r w:rsidRPr="00FF4C0B">
              <w:rPr>
                <w:rFonts w:ascii="Arial" w:hAnsi="Arial" w:cs="Arial"/>
              </w:rPr>
              <w:t xml:space="preserve"> received by </w:t>
            </w:r>
            <w:r w:rsidRPr="00FF4C0B">
              <w:rPr>
                <w:rFonts w:ascii="Arial" w:hAnsi="Arial" w:cs="Arial"/>
                <w:i/>
                <w:iCs/>
              </w:rPr>
              <w:t>generating unit g</w:t>
            </w:r>
            <w:r w:rsidRPr="00FF4C0B">
              <w:rPr>
                <w:rFonts w:ascii="Arial" w:hAnsi="Arial" w:cs="Arial"/>
              </w:rPr>
              <w:t xml:space="preserve"> for </w:t>
            </w:r>
            <w:r w:rsidRPr="00FF4C0B">
              <w:rPr>
                <w:rFonts w:ascii="Arial" w:hAnsi="Arial" w:cs="Arial"/>
                <w:i/>
                <w:iCs/>
              </w:rPr>
              <w:t xml:space="preserve">dispatch interval </w:t>
            </w:r>
            <w:proofErr w:type="spellStart"/>
            <w:r w:rsidRPr="00FF4C0B">
              <w:rPr>
                <w:rFonts w:ascii="Arial" w:hAnsi="Arial" w:cs="Arial"/>
                <w:i/>
                <w:iCs/>
              </w:rPr>
              <w:t>i</w:t>
            </w:r>
            <w:proofErr w:type="spellEnd"/>
            <w:r w:rsidRPr="00FF4C0B">
              <w:rPr>
                <w:rFonts w:ascii="Arial" w:hAnsi="Arial" w:cs="Arial"/>
              </w:rPr>
              <w:t xml:space="preserve">. </w:t>
            </w:r>
            <w:r w:rsidRPr="00FF4C0B">
              <w:rPr>
                <w:rFonts w:ascii="Arial" w:hAnsi="Arial" w:cs="Arial"/>
                <w:b/>
                <w:bCs/>
                <w:u w:val="single"/>
              </w:rPr>
              <w:t xml:space="preserve">In cases where there is no </w:t>
            </w:r>
            <w:r w:rsidRPr="00FF4C0B">
              <w:rPr>
                <w:rFonts w:ascii="Arial" w:hAnsi="Arial" w:cs="Arial"/>
                <w:b/>
                <w:bCs/>
                <w:i/>
                <w:iCs/>
                <w:u w:val="single"/>
              </w:rPr>
              <w:t>System Operator</w:t>
            </w:r>
            <w:r w:rsidRPr="00FF4C0B">
              <w:rPr>
                <w:rFonts w:ascii="Arial" w:hAnsi="Arial" w:cs="Arial"/>
                <w:b/>
                <w:bCs/>
                <w:u w:val="single"/>
              </w:rPr>
              <w:t xml:space="preserve"> </w:t>
            </w:r>
            <w:r w:rsidRPr="00FF4C0B">
              <w:rPr>
                <w:rFonts w:ascii="Arial" w:hAnsi="Arial" w:cs="Arial"/>
                <w:b/>
                <w:bCs/>
                <w:i/>
                <w:iCs/>
                <w:u w:val="single"/>
              </w:rPr>
              <w:t>dispatch instruction</w:t>
            </w:r>
            <w:r w:rsidRPr="00FF4C0B">
              <w:rPr>
                <w:rFonts w:ascii="Arial" w:hAnsi="Arial" w:cs="Arial"/>
                <w:b/>
                <w:bCs/>
                <w:u w:val="single"/>
              </w:rPr>
              <w:t xml:space="preserve"> issued for </w:t>
            </w:r>
            <w:r w:rsidRPr="00FF4C0B">
              <w:rPr>
                <w:rFonts w:ascii="Arial" w:hAnsi="Arial" w:cs="Arial"/>
                <w:b/>
                <w:bCs/>
                <w:i/>
                <w:iCs/>
                <w:u w:val="single"/>
              </w:rPr>
              <w:t>generating unit g</w:t>
            </w:r>
            <w:r w:rsidRPr="00FF4C0B">
              <w:rPr>
                <w:rFonts w:ascii="Arial" w:hAnsi="Arial" w:cs="Arial"/>
                <w:b/>
                <w:bCs/>
                <w:u w:val="single"/>
              </w:rPr>
              <w:t xml:space="preserve"> at </w:t>
            </w:r>
            <w:r w:rsidRPr="00FF4C0B">
              <w:rPr>
                <w:rFonts w:ascii="Arial" w:hAnsi="Arial" w:cs="Arial"/>
                <w:b/>
                <w:bCs/>
                <w:i/>
                <w:iCs/>
                <w:u w:val="single"/>
              </w:rPr>
              <w:t xml:space="preserve">dispatch interval </w:t>
            </w:r>
            <w:proofErr w:type="spellStart"/>
            <w:r w:rsidRPr="00FF4C0B">
              <w:rPr>
                <w:rFonts w:ascii="Arial" w:hAnsi="Arial" w:cs="Arial"/>
                <w:b/>
                <w:bCs/>
                <w:i/>
                <w:iCs/>
                <w:u w:val="single"/>
              </w:rPr>
              <w:t>i</w:t>
            </w:r>
            <w:proofErr w:type="spellEnd"/>
            <w:r w:rsidRPr="00FF4C0B">
              <w:rPr>
                <w:rFonts w:ascii="Arial" w:hAnsi="Arial" w:cs="Arial"/>
                <w:b/>
                <w:bCs/>
                <w:u w:val="single"/>
              </w:rPr>
              <w:t xml:space="preserve"> during </w:t>
            </w:r>
            <w:r w:rsidRPr="00FF4C0B">
              <w:rPr>
                <w:rFonts w:ascii="Arial" w:hAnsi="Arial" w:cs="Arial"/>
                <w:b/>
                <w:bCs/>
                <w:i/>
                <w:iCs/>
                <w:u w:val="single"/>
              </w:rPr>
              <w:t>market intervention</w:t>
            </w:r>
            <w:r w:rsidRPr="00FF4C0B">
              <w:rPr>
                <w:rFonts w:ascii="Arial" w:hAnsi="Arial" w:cs="Arial"/>
                <w:b/>
                <w:bCs/>
                <w:u w:val="single"/>
              </w:rPr>
              <w:t xml:space="preserve"> or </w:t>
            </w:r>
            <w:r w:rsidRPr="00FF4C0B">
              <w:rPr>
                <w:rFonts w:ascii="Arial" w:hAnsi="Arial" w:cs="Arial"/>
                <w:b/>
                <w:bCs/>
                <w:i/>
                <w:iCs/>
                <w:u w:val="single"/>
              </w:rPr>
              <w:t>market suspension</w:t>
            </w:r>
            <w:r w:rsidRPr="00FF4C0B">
              <w:rPr>
                <w:rFonts w:ascii="Arial" w:hAnsi="Arial" w:cs="Arial"/>
                <w:b/>
                <w:bCs/>
                <w:u w:val="single"/>
              </w:rPr>
              <w:t xml:space="preserve">, then its </w:t>
            </w:r>
            <w:r w:rsidRPr="00FF4C0B">
              <w:rPr>
                <w:rFonts w:ascii="Arial" w:hAnsi="Arial" w:cs="Arial"/>
                <w:b/>
                <w:bCs/>
                <w:i/>
                <w:iCs/>
                <w:u w:val="single"/>
              </w:rPr>
              <w:t>gross energy settlement quantity</w:t>
            </w:r>
            <w:r w:rsidRPr="00FF4C0B">
              <w:rPr>
                <w:rFonts w:ascii="Arial" w:hAnsi="Arial" w:cs="Arial"/>
                <w:b/>
                <w:bCs/>
                <w:u w:val="single"/>
              </w:rPr>
              <w:t xml:space="preserve"> at </w:t>
            </w:r>
            <w:r w:rsidRPr="00FF4C0B">
              <w:rPr>
                <w:rFonts w:ascii="Arial" w:hAnsi="Arial" w:cs="Arial"/>
                <w:b/>
                <w:bCs/>
                <w:i/>
                <w:iCs/>
                <w:u w:val="single"/>
              </w:rPr>
              <w:t xml:space="preserve">dispatch interval </w:t>
            </w:r>
            <w:proofErr w:type="spellStart"/>
            <w:r w:rsidRPr="00FF4C0B">
              <w:rPr>
                <w:rFonts w:ascii="Arial" w:hAnsi="Arial" w:cs="Arial"/>
                <w:b/>
                <w:bCs/>
                <w:i/>
                <w:iCs/>
                <w:u w:val="single"/>
              </w:rPr>
              <w:t>i</w:t>
            </w:r>
            <w:proofErr w:type="spellEnd"/>
            <w:r w:rsidRPr="00FF4C0B">
              <w:rPr>
                <w:rFonts w:ascii="Arial" w:hAnsi="Arial" w:cs="Arial"/>
                <w:b/>
                <w:bCs/>
                <w:u w:val="single"/>
              </w:rPr>
              <w:t xml:space="preserve"> shall be used.</w:t>
            </w:r>
          </w:p>
          <w:p w14:paraId="7DD8CBCD" w14:textId="4D4317B5" w:rsidR="0071528C" w:rsidRPr="00B50D99" w:rsidRDefault="0071528C" w:rsidP="0071528C">
            <w:pPr>
              <w:pStyle w:val="ListParagraph"/>
              <w:spacing w:line="276" w:lineRule="auto"/>
              <w:jc w:val="both"/>
              <w:rPr>
                <w:rFonts w:ascii="Arial" w:hAnsi="Arial" w:cs="Arial"/>
                <w:b/>
                <w:color w:val="000000" w:themeColor="text1"/>
                <w:sz w:val="22"/>
                <w:szCs w:val="22"/>
                <w:u w:val="single"/>
              </w:rPr>
            </w:pPr>
          </w:p>
        </w:tc>
        <w:tc>
          <w:tcPr>
            <w:tcW w:w="880" w:type="pct"/>
          </w:tcPr>
          <w:p w14:paraId="3777321B" w14:textId="77777777" w:rsidR="0071528C" w:rsidRPr="00FF4C0B" w:rsidRDefault="0071528C" w:rsidP="0071528C">
            <w:pPr>
              <w:contextualSpacing/>
              <w:rPr>
                <w:rFonts w:ascii="Arial" w:hAnsi="Arial" w:cs="Arial"/>
                <w:color w:val="000000"/>
                <w:lang w:val="en-US"/>
              </w:rPr>
            </w:pPr>
            <w:r w:rsidRPr="00FF4C0B">
              <w:rPr>
                <w:rFonts w:ascii="Arial" w:hAnsi="Arial" w:cs="Arial"/>
                <w:color w:val="000000"/>
                <w:lang w:val="en-US"/>
              </w:rPr>
              <w:t xml:space="preserve">To simplify the process in determining SO dispatch instructions during market intervention/ suspension and include further condition on the calculation of quantity eligible for additional compensation during administered pricing </w:t>
            </w:r>
            <w:proofErr w:type="gramStart"/>
            <w:r w:rsidRPr="00FF4C0B">
              <w:rPr>
                <w:rFonts w:ascii="Arial" w:hAnsi="Arial" w:cs="Arial"/>
                <w:color w:val="000000"/>
                <w:lang w:val="en-US"/>
              </w:rPr>
              <w:t>in light of</w:t>
            </w:r>
            <w:proofErr w:type="gramEnd"/>
            <w:r w:rsidRPr="00FF4C0B">
              <w:rPr>
                <w:rFonts w:ascii="Arial" w:hAnsi="Arial" w:cs="Arial"/>
                <w:color w:val="000000"/>
                <w:lang w:val="en-US"/>
              </w:rPr>
              <w:t xml:space="preserve"> recent observations in market suspension during Typhoon Odette.</w:t>
            </w:r>
          </w:p>
          <w:p w14:paraId="2C7BAFC6" w14:textId="3718CB7C" w:rsidR="0071528C" w:rsidRPr="00691003" w:rsidRDefault="0071528C" w:rsidP="0071528C">
            <w:pPr>
              <w:pStyle w:val="Default"/>
              <w:jc w:val="both"/>
              <w:rPr>
                <w:color w:val="auto"/>
              </w:rPr>
            </w:pPr>
          </w:p>
        </w:tc>
        <w:tc>
          <w:tcPr>
            <w:tcW w:w="823" w:type="pct"/>
            <w:shd w:val="clear" w:color="auto" w:fill="FFFFFF" w:themeFill="background1"/>
          </w:tcPr>
          <w:p w14:paraId="3B1C54E1" w14:textId="77777777" w:rsidR="0071528C" w:rsidRPr="00691003" w:rsidRDefault="0071528C" w:rsidP="0071528C">
            <w:pPr>
              <w:spacing w:line="276" w:lineRule="auto"/>
              <w:jc w:val="both"/>
              <w:rPr>
                <w:rFonts w:ascii="Arial" w:hAnsi="Arial" w:cs="Arial"/>
                <w:sz w:val="24"/>
                <w:szCs w:val="24"/>
              </w:rPr>
            </w:pPr>
          </w:p>
        </w:tc>
        <w:tc>
          <w:tcPr>
            <w:tcW w:w="822" w:type="pct"/>
            <w:shd w:val="clear" w:color="auto" w:fill="FFFFFF" w:themeFill="background1"/>
          </w:tcPr>
          <w:p w14:paraId="1D359080" w14:textId="77777777" w:rsidR="0071528C" w:rsidRPr="00691003" w:rsidRDefault="0071528C" w:rsidP="0071528C">
            <w:pPr>
              <w:spacing w:line="276" w:lineRule="auto"/>
              <w:jc w:val="both"/>
              <w:rPr>
                <w:rFonts w:ascii="Arial" w:hAnsi="Arial" w:cs="Arial"/>
                <w:sz w:val="24"/>
                <w:szCs w:val="24"/>
              </w:rPr>
            </w:pPr>
          </w:p>
        </w:tc>
      </w:tr>
      <w:tr w:rsidR="0071528C" w:rsidRPr="00691003" w14:paraId="00B86FAB" w14:textId="77777777" w:rsidTr="0071528C">
        <w:tc>
          <w:tcPr>
            <w:tcW w:w="459" w:type="pct"/>
          </w:tcPr>
          <w:p w14:paraId="757AC293" w14:textId="28DEC75F" w:rsidR="0071528C" w:rsidRPr="00691003" w:rsidRDefault="0071528C" w:rsidP="0071528C">
            <w:pPr>
              <w:jc w:val="both"/>
              <w:rPr>
                <w:rFonts w:ascii="Arial" w:hAnsi="Arial" w:cs="Arial"/>
                <w:sz w:val="24"/>
                <w:szCs w:val="24"/>
              </w:rPr>
            </w:pPr>
            <w:r w:rsidRPr="00FF4C0B">
              <w:rPr>
                <w:rFonts w:ascii="Arial" w:hAnsi="Arial" w:cs="Arial"/>
              </w:rPr>
              <w:lastRenderedPageBreak/>
              <w:t>10.4</w:t>
            </w:r>
          </w:p>
        </w:tc>
        <w:tc>
          <w:tcPr>
            <w:tcW w:w="871" w:type="pct"/>
          </w:tcPr>
          <w:p w14:paraId="697241F7" w14:textId="0593507F" w:rsidR="0071528C" w:rsidRPr="00691003" w:rsidRDefault="0071528C" w:rsidP="0071528C">
            <w:pPr>
              <w:jc w:val="both"/>
              <w:rPr>
                <w:rFonts w:ascii="Arial" w:hAnsi="Arial" w:cs="Arial"/>
                <w:sz w:val="24"/>
                <w:szCs w:val="24"/>
              </w:rPr>
            </w:pPr>
            <w:r w:rsidRPr="00FF4C0B">
              <w:rPr>
                <w:rFonts w:ascii="Arial" w:hAnsi="Arial" w:cs="Arial"/>
              </w:rPr>
              <w:t xml:space="preserve">(new) </w:t>
            </w:r>
          </w:p>
        </w:tc>
        <w:tc>
          <w:tcPr>
            <w:tcW w:w="1145" w:type="pct"/>
          </w:tcPr>
          <w:p w14:paraId="7F83C876" w14:textId="77777777" w:rsidR="0071528C" w:rsidRPr="00FF4C0B" w:rsidRDefault="0071528C" w:rsidP="0071528C">
            <w:pPr>
              <w:rPr>
                <w:rFonts w:ascii="Arial" w:hAnsi="Arial" w:cs="Arial"/>
                <w:b/>
                <w:u w:val="single"/>
              </w:rPr>
            </w:pPr>
            <w:r w:rsidRPr="00FF4C0B">
              <w:rPr>
                <w:rFonts w:ascii="Arial" w:hAnsi="Arial" w:cs="Arial"/>
                <w:b/>
                <w:u w:val="single"/>
              </w:rPr>
              <w:t xml:space="preserve">10.4.1. Using the formula below, the </w:t>
            </w:r>
            <w:r w:rsidRPr="00FF4C0B">
              <w:rPr>
                <w:rFonts w:ascii="Arial" w:hAnsi="Arial" w:cs="Arial"/>
                <w:b/>
                <w:i/>
                <w:iCs/>
                <w:u w:val="single"/>
              </w:rPr>
              <w:t>Market Operator</w:t>
            </w:r>
            <w:r w:rsidRPr="00FF4C0B">
              <w:rPr>
                <w:rFonts w:ascii="Arial" w:hAnsi="Arial" w:cs="Arial"/>
                <w:b/>
                <w:u w:val="single"/>
              </w:rPr>
              <w:t xml:space="preserve"> shall determine the additional compensation claim amount in accordance with the claim category conditions on quantity eligible for additional compensation as set out in Section 10.3 of this Manual  </w:t>
            </w:r>
          </w:p>
          <w:p w14:paraId="7DAE5D23" w14:textId="77777777" w:rsidR="0071528C" w:rsidRPr="00FF4C0B" w:rsidRDefault="0071528C" w:rsidP="0071528C">
            <w:pPr>
              <w:rPr>
                <w:rFonts w:ascii="Arial" w:hAnsi="Arial" w:cs="Arial"/>
                <w:b/>
                <w:u w:val="single"/>
              </w:rPr>
            </w:pPr>
          </w:p>
          <w:p w14:paraId="2537F4BD" w14:textId="77777777" w:rsidR="0071528C" w:rsidRPr="00FF4C0B" w:rsidRDefault="0071528C" w:rsidP="0071528C">
            <w:pPr>
              <w:rPr>
                <w:rFonts w:ascii="Arial" w:hAnsi="Arial" w:cs="Arial"/>
                <w:b/>
                <w:iCs/>
                <w:u w:val="single"/>
              </w:rPr>
            </w:pPr>
            <m:oMathPara>
              <m:oMath>
                <m:sSub>
                  <m:sSubPr>
                    <m:ctrlPr>
                      <w:rPr>
                        <w:rFonts w:ascii="Cambria Math" w:hAnsi="Cambria Math" w:cs="Arial"/>
                        <w:b/>
                        <w:bCs/>
                        <w:iCs/>
                        <w:color w:val="000000" w:themeColor="text1"/>
                        <w:u w:val="single"/>
                      </w:rPr>
                    </m:ctrlPr>
                  </m:sSubPr>
                  <m:e>
                    <m:r>
                      <m:rPr>
                        <m:nor/>
                      </m:rPr>
                      <w:rPr>
                        <w:rFonts w:ascii="Arial" w:hAnsi="Arial" w:cs="Arial"/>
                        <w:b/>
                        <w:bCs/>
                        <w:iCs/>
                        <w:color w:val="000000" w:themeColor="text1"/>
                        <w:u w:val="single"/>
                      </w:rPr>
                      <m:t>ACA</m:t>
                    </m:r>
                  </m:e>
                  <m:sub>
                    <w:proofErr w:type="spellStart"/>
                    <m:r>
                      <m:rPr>
                        <m:nor/>
                      </m:rPr>
                      <w:rPr>
                        <w:rFonts w:ascii="Arial" w:hAnsi="Arial" w:cs="Arial"/>
                        <w:b/>
                        <w:bCs/>
                        <w:iCs/>
                        <w:color w:val="000000" w:themeColor="text1"/>
                        <w:u w:val="single"/>
                      </w:rPr>
                      <m:t>g,i</m:t>
                    </m:r>
                    <w:proofErr w:type="spellEnd"/>
                  </m:sub>
                </m:sSub>
                <m:r>
                  <m:rPr>
                    <m:nor/>
                  </m:rPr>
                  <w:rPr>
                    <w:rFonts w:ascii="Arial" w:hAnsi="Arial" w:cs="Arial"/>
                    <w:b/>
                    <w:bCs/>
                    <w:iCs/>
                    <w:color w:val="000000" w:themeColor="text1"/>
                    <w:u w:val="single"/>
                  </w:rPr>
                  <m:t xml:space="preserve"> = </m:t>
                </m:r>
                <m:sSub>
                  <m:sSubPr>
                    <m:ctrlPr>
                      <w:rPr>
                        <w:rFonts w:ascii="Cambria Math" w:hAnsi="Cambria Math" w:cs="Arial"/>
                        <w:b/>
                        <w:bCs/>
                        <w:iCs/>
                        <w:color w:val="000000" w:themeColor="text1"/>
                        <w:u w:val="single"/>
                      </w:rPr>
                    </m:ctrlPr>
                  </m:sSubPr>
                  <m:e>
                    <m:r>
                      <m:rPr>
                        <m:nor/>
                      </m:rPr>
                      <w:rPr>
                        <w:rFonts w:ascii="Arial" w:hAnsi="Arial" w:cs="Arial"/>
                        <w:b/>
                        <w:bCs/>
                        <w:iCs/>
                        <w:color w:val="000000" w:themeColor="text1"/>
                        <w:u w:val="single"/>
                      </w:rPr>
                      <m:t>ACQ</m:t>
                    </m:r>
                  </m:e>
                  <m:sub>
                    <w:proofErr w:type="spellStart"/>
                    <m:r>
                      <m:rPr>
                        <m:nor/>
                      </m:rPr>
                      <w:rPr>
                        <w:rFonts w:ascii="Arial" w:hAnsi="Arial" w:cs="Arial"/>
                        <w:b/>
                        <w:bCs/>
                        <w:iCs/>
                        <w:color w:val="000000" w:themeColor="text1"/>
                        <w:u w:val="single"/>
                      </w:rPr>
                      <m:t>g,i</m:t>
                    </m:r>
                    <w:proofErr w:type="spellEnd"/>
                  </m:sub>
                </m:sSub>
                <m:r>
                  <m:rPr>
                    <m:sty m:val="b"/>
                  </m:rPr>
                  <w:rPr>
                    <w:rFonts w:ascii="Cambria Math" w:hAnsi="Cambria Math" w:cs="Arial"/>
                    <w:color w:val="000000" w:themeColor="text1"/>
                    <w:u w:val="single"/>
                  </w:rPr>
                  <m:t xml:space="preserve"> x [</m:t>
                </m:r>
                <m:sSub>
                  <m:sSubPr>
                    <m:ctrlPr>
                      <w:rPr>
                        <w:rFonts w:ascii="Cambria Math" w:hAnsi="Cambria Math" w:cs="Arial"/>
                        <w:b/>
                        <w:bCs/>
                        <w:iCs/>
                        <w:color w:val="000000" w:themeColor="text1"/>
                        <w:u w:val="single"/>
                      </w:rPr>
                    </m:ctrlPr>
                  </m:sSubPr>
                  <m:e>
                    <m:r>
                      <m:rPr>
                        <m:nor/>
                      </m:rPr>
                      <w:rPr>
                        <w:rFonts w:ascii="Arial" w:hAnsi="Arial" w:cs="Arial"/>
                        <w:b/>
                        <w:bCs/>
                        <w:iCs/>
                        <w:color w:val="000000" w:themeColor="text1"/>
                        <w:u w:val="single"/>
                      </w:rPr>
                      <m:t>Approved Rate</m:t>
                    </m:r>
                  </m:e>
                  <m:sub>
                    <w:proofErr w:type="spellStart"/>
                    <m:r>
                      <m:rPr>
                        <m:nor/>
                      </m:rPr>
                      <w:rPr>
                        <w:rFonts w:ascii="Arial" w:hAnsi="Arial" w:cs="Arial"/>
                        <w:b/>
                        <w:bCs/>
                        <w:iCs/>
                        <w:color w:val="000000" w:themeColor="text1"/>
                        <w:u w:val="single"/>
                      </w:rPr>
                      <m:t>g,i</m:t>
                    </m:r>
                    <w:proofErr w:type="spellEnd"/>
                  </m:sub>
                </m:sSub>
                <m:r>
                  <m:rPr>
                    <m:sty m:val="b"/>
                  </m:rPr>
                  <w:rPr>
                    <w:rFonts w:ascii="Cambria Math" w:hAnsi="Cambria Math" w:cs="Arial"/>
                    <w:color w:val="000000" w:themeColor="text1"/>
                    <w:u w:val="single"/>
                  </w:rPr>
                  <m:t xml:space="preserve"> -</m:t>
                </m:r>
                <m:sSub>
                  <m:sSubPr>
                    <m:ctrlPr>
                      <w:rPr>
                        <w:rFonts w:ascii="Cambria Math" w:hAnsi="Cambria Math" w:cs="Arial"/>
                        <w:b/>
                        <w:bCs/>
                        <w:iCs/>
                        <w:color w:val="000000" w:themeColor="text1"/>
                        <w:u w:val="single"/>
                      </w:rPr>
                    </m:ctrlPr>
                  </m:sSubPr>
                  <m:e>
                    <m:r>
                      <m:rPr>
                        <m:nor/>
                      </m:rPr>
                      <w:rPr>
                        <w:rFonts w:ascii="Arial" w:hAnsi="Arial" w:cs="Arial"/>
                        <w:b/>
                        <w:bCs/>
                        <w:iCs/>
                        <w:color w:val="000000" w:themeColor="text1"/>
                        <w:u w:val="single"/>
                      </w:rPr>
                      <m:t>FEDP</m:t>
                    </m:r>
                  </m:e>
                  <m:sub>
                    <w:proofErr w:type="spellStart"/>
                    <m:r>
                      <m:rPr>
                        <m:nor/>
                      </m:rPr>
                      <w:rPr>
                        <w:rFonts w:ascii="Arial" w:hAnsi="Arial" w:cs="Arial"/>
                        <w:b/>
                        <w:bCs/>
                        <w:iCs/>
                        <w:color w:val="000000" w:themeColor="text1"/>
                        <w:u w:val="single"/>
                      </w:rPr>
                      <m:t>g,i</m:t>
                    </m:r>
                    <w:proofErr w:type="spellEnd"/>
                  </m:sub>
                </m:sSub>
                <m:r>
                  <m:rPr>
                    <m:sty m:val="b"/>
                  </m:rPr>
                  <w:rPr>
                    <w:rFonts w:ascii="Cambria Math" w:hAnsi="Cambria Math" w:cs="Arial"/>
                    <w:color w:val="000000" w:themeColor="text1"/>
                    <w:u w:val="single"/>
                  </w:rPr>
                  <m:t xml:space="preserve"> </m:t>
                </m:r>
                <m:r>
                  <m:rPr>
                    <m:sty m:val="p"/>
                  </m:rPr>
                  <w:rPr>
                    <w:rFonts w:ascii="Cambria Math" w:hAnsi="Cambria Math" w:cs="Arial"/>
                    <w:color w:val="000000" w:themeColor="text1"/>
                    <w:u w:val="single"/>
                  </w:rPr>
                  <m:t>]</m:t>
                </m:r>
              </m:oMath>
            </m:oMathPara>
          </w:p>
          <w:p w14:paraId="6EB4B539" w14:textId="77777777" w:rsidR="0071528C" w:rsidRPr="00FF4C0B" w:rsidRDefault="0071528C" w:rsidP="0071528C">
            <w:pPr>
              <w:spacing w:line="276" w:lineRule="auto"/>
              <w:rPr>
                <w:rFonts w:ascii="Arial" w:hAnsi="Arial" w:cs="Arial"/>
                <w:bCs/>
              </w:rPr>
            </w:pPr>
          </w:p>
          <w:p w14:paraId="25993F40" w14:textId="77777777" w:rsidR="0071528C" w:rsidRPr="00FF4C0B" w:rsidRDefault="0071528C" w:rsidP="0071528C">
            <w:pPr>
              <w:spacing w:line="276" w:lineRule="auto"/>
              <w:rPr>
                <w:rFonts w:ascii="Arial" w:hAnsi="Arial" w:cs="Arial"/>
                <w:b/>
                <w:u w:val="single"/>
              </w:rPr>
            </w:pPr>
            <w:r w:rsidRPr="00FF4C0B">
              <w:rPr>
                <w:rFonts w:ascii="Arial" w:hAnsi="Arial" w:cs="Arial"/>
                <w:b/>
                <w:u w:val="single"/>
              </w:rPr>
              <w:t>Where:</w:t>
            </w:r>
          </w:p>
          <w:p w14:paraId="031C3154" w14:textId="77777777" w:rsidR="0071528C" w:rsidRPr="00FF4C0B" w:rsidRDefault="0071528C" w:rsidP="0071528C">
            <w:pPr>
              <w:spacing w:line="276" w:lineRule="auto"/>
              <w:ind w:left="1701" w:hanging="1701"/>
              <w:rPr>
                <w:rFonts w:ascii="Arial" w:hAnsi="Arial" w:cs="Arial"/>
                <w:b/>
                <w:i/>
                <w:iCs/>
                <w:u w:val="single"/>
              </w:rPr>
            </w:pPr>
            <w:proofErr w:type="spellStart"/>
            <w:proofErr w:type="gramStart"/>
            <w:r w:rsidRPr="00FF4C0B">
              <w:rPr>
                <w:rFonts w:ascii="Arial" w:hAnsi="Arial" w:cs="Arial"/>
                <w:b/>
                <w:u w:val="single"/>
              </w:rPr>
              <w:t>ACA</w:t>
            </w:r>
            <w:r w:rsidRPr="00FF4C0B">
              <w:rPr>
                <w:rFonts w:ascii="Arial" w:hAnsi="Arial" w:cs="Arial"/>
                <w:b/>
                <w:u w:val="single"/>
                <w:vertAlign w:val="subscript"/>
              </w:rPr>
              <w:t>g,i</w:t>
            </w:r>
            <w:proofErr w:type="spellEnd"/>
            <w:proofErr w:type="gramEnd"/>
            <w:r w:rsidRPr="00FF4C0B">
              <w:rPr>
                <w:rFonts w:ascii="Arial" w:hAnsi="Arial" w:cs="Arial"/>
                <w:b/>
                <w:u w:val="single"/>
              </w:rPr>
              <w:tab/>
              <w:t xml:space="preserve">refers to the additional compensation amount of </w:t>
            </w:r>
            <w:r w:rsidRPr="00FF4C0B">
              <w:rPr>
                <w:rFonts w:ascii="Arial" w:hAnsi="Arial" w:cs="Arial"/>
                <w:b/>
                <w:i/>
                <w:u w:val="single"/>
              </w:rPr>
              <w:t>generating unit</w:t>
            </w:r>
            <w:r w:rsidRPr="00FF4C0B">
              <w:rPr>
                <w:rFonts w:ascii="Arial" w:hAnsi="Arial" w:cs="Arial"/>
                <w:b/>
                <w:u w:val="single"/>
              </w:rPr>
              <w:t xml:space="preserve"> </w:t>
            </w:r>
            <w:r w:rsidRPr="00FF4C0B">
              <w:rPr>
                <w:rFonts w:ascii="Arial" w:hAnsi="Arial" w:cs="Arial"/>
                <w:b/>
                <w:i/>
                <w:iCs/>
                <w:u w:val="single"/>
              </w:rPr>
              <w:t>g</w:t>
            </w:r>
            <w:r w:rsidRPr="00FF4C0B">
              <w:rPr>
                <w:rFonts w:ascii="Arial" w:hAnsi="Arial" w:cs="Arial"/>
                <w:b/>
                <w:u w:val="single"/>
              </w:rPr>
              <w:t xml:space="preserve"> for </w:t>
            </w:r>
            <w:r w:rsidRPr="00FF4C0B">
              <w:rPr>
                <w:rFonts w:ascii="Arial" w:hAnsi="Arial" w:cs="Arial"/>
                <w:b/>
                <w:i/>
                <w:u w:val="single"/>
              </w:rPr>
              <w:t>dispatch interval</w:t>
            </w:r>
            <w:r w:rsidRPr="00FF4C0B">
              <w:rPr>
                <w:rFonts w:ascii="Arial" w:hAnsi="Arial" w:cs="Arial"/>
                <w:b/>
                <w:u w:val="single"/>
              </w:rPr>
              <w:t xml:space="preserve"> </w:t>
            </w:r>
            <w:proofErr w:type="spellStart"/>
            <w:r w:rsidRPr="00FF4C0B">
              <w:rPr>
                <w:rFonts w:ascii="Arial" w:hAnsi="Arial" w:cs="Arial"/>
                <w:b/>
                <w:i/>
                <w:iCs/>
                <w:u w:val="single"/>
              </w:rPr>
              <w:t>i</w:t>
            </w:r>
            <w:proofErr w:type="spellEnd"/>
          </w:p>
          <w:p w14:paraId="6B9D0408" w14:textId="77777777" w:rsidR="0071528C" w:rsidRPr="00FF4C0B" w:rsidRDefault="0071528C" w:rsidP="0071528C">
            <w:pPr>
              <w:spacing w:line="276" w:lineRule="auto"/>
              <w:ind w:left="1764" w:hanging="1701"/>
              <w:rPr>
                <w:rFonts w:ascii="Arial" w:hAnsi="Arial" w:cs="Arial"/>
                <w:b/>
                <w:u w:val="single"/>
              </w:rPr>
            </w:pPr>
            <w:proofErr w:type="spellStart"/>
            <w:proofErr w:type="gramStart"/>
            <w:r w:rsidRPr="00FF4C0B">
              <w:rPr>
                <w:rFonts w:ascii="Arial" w:hAnsi="Arial" w:cs="Arial"/>
                <w:b/>
                <w:u w:val="single"/>
              </w:rPr>
              <w:t>ACQ</w:t>
            </w:r>
            <w:r w:rsidRPr="00FF4C0B">
              <w:rPr>
                <w:rFonts w:ascii="Arial" w:hAnsi="Arial" w:cs="Arial"/>
                <w:b/>
                <w:u w:val="single"/>
                <w:vertAlign w:val="subscript"/>
              </w:rPr>
              <w:t>g,i</w:t>
            </w:r>
            <w:proofErr w:type="spellEnd"/>
            <w:proofErr w:type="gramEnd"/>
            <w:r w:rsidRPr="00FF4C0B">
              <w:rPr>
                <w:rFonts w:ascii="Arial" w:hAnsi="Arial" w:cs="Arial"/>
                <w:b/>
                <w:u w:val="single"/>
              </w:rPr>
              <w:tab/>
              <w:t xml:space="preserve">refers to the additional compensation quantity or volume of </w:t>
            </w:r>
            <w:r w:rsidRPr="00FF4C0B">
              <w:rPr>
                <w:rFonts w:ascii="Arial" w:hAnsi="Arial" w:cs="Arial"/>
                <w:b/>
                <w:iCs/>
                <w:u w:val="single"/>
              </w:rPr>
              <w:t>generating unit</w:t>
            </w:r>
            <w:r w:rsidRPr="00FF4C0B">
              <w:rPr>
                <w:rFonts w:ascii="Arial" w:hAnsi="Arial" w:cs="Arial"/>
                <w:b/>
                <w:u w:val="single"/>
              </w:rPr>
              <w:t xml:space="preserve"> </w:t>
            </w:r>
            <w:r w:rsidRPr="00FF4C0B">
              <w:rPr>
                <w:rFonts w:ascii="Arial" w:hAnsi="Arial" w:cs="Arial"/>
                <w:b/>
                <w:i/>
                <w:iCs/>
                <w:u w:val="single"/>
              </w:rPr>
              <w:t>g</w:t>
            </w:r>
            <w:r w:rsidRPr="00FF4C0B">
              <w:rPr>
                <w:rFonts w:ascii="Arial" w:hAnsi="Arial" w:cs="Arial"/>
                <w:b/>
                <w:u w:val="single"/>
              </w:rPr>
              <w:t xml:space="preserve"> for </w:t>
            </w:r>
            <w:r w:rsidRPr="00FF4C0B">
              <w:rPr>
                <w:rFonts w:ascii="Arial" w:hAnsi="Arial" w:cs="Arial"/>
                <w:b/>
                <w:i/>
                <w:u w:val="single"/>
              </w:rPr>
              <w:t>dispatch interval</w:t>
            </w:r>
            <w:r w:rsidRPr="00FF4C0B">
              <w:rPr>
                <w:rFonts w:ascii="Arial" w:hAnsi="Arial" w:cs="Arial"/>
                <w:b/>
                <w:u w:val="single"/>
              </w:rPr>
              <w:t xml:space="preserve"> </w:t>
            </w:r>
            <w:proofErr w:type="spellStart"/>
            <w:r w:rsidRPr="00FF4C0B">
              <w:rPr>
                <w:rFonts w:ascii="Arial" w:hAnsi="Arial" w:cs="Arial"/>
                <w:b/>
                <w:i/>
                <w:iCs/>
                <w:u w:val="single"/>
              </w:rPr>
              <w:t>i</w:t>
            </w:r>
            <w:proofErr w:type="spellEnd"/>
          </w:p>
          <w:p w14:paraId="01B0A0AC" w14:textId="77777777" w:rsidR="0071528C" w:rsidRPr="00FF4C0B" w:rsidRDefault="0071528C" w:rsidP="0071528C">
            <w:pPr>
              <w:spacing w:line="276" w:lineRule="auto"/>
              <w:ind w:left="1884" w:hanging="1821"/>
              <w:rPr>
                <w:rFonts w:ascii="Arial" w:hAnsi="Arial" w:cs="Arial"/>
                <w:b/>
                <w:u w:val="single"/>
              </w:rPr>
            </w:pPr>
            <w:r w:rsidRPr="00FF4C0B">
              <w:rPr>
                <w:rFonts w:ascii="Arial" w:hAnsi="Arial" w:cs="Arial"/>
                <w:b/>
                <w:u w:val="single"/>
              </w:rPr>
              <w:t xml:space="preserve">Approved </w:t>
            </w:r>
          </w:p>
          <w:p w14:paraId="701090F7" w14:textId="77777777" w:rsidR="0071528C" w:rsidRPr="00FF4C0B" w:rsidRDefault="0071528C" w:rsidP="0071528C">
            <w:pPr>
              <w:spacing w:line="276" w:lineRule="auto"/>
              <w:ind w:left="1742" w:hanging="1701"/>
              <w:rPr>
                <w:rFonts w:ascii="Arial" w:hAnsi="Arial" w:cs="Arial"/>
                <w:b/>
                <w:u w:val="single"/>
              </w:rPr>
            </w:pPr>
            <w:proofErr w:type="spellStart"/>
            <w:proofErr w:type="gramStart"/>
            <w:r w:rsidRPr="00FF4C0B">
              <w:rPr>
                <w:rFonts w:ascii="Arial" w:hAnsi="Arial" w:cs="Arial"/>
                <w:b/>
                <w:u w:val="single"/>
              </w:rPr>
              <w:t>Rate</w:t>
            </w:r>
            <w:r w:rsidRPr="00FF4C0B">
              <w:rPr>
                <w:rFonts w:ascii="Arial" w:hAnsi="Arial" w:cs="Arial"/>
                <w:b/>
                <w:u w:val="single"/>
                <w:vertAlign w:val="subscript"/>
              </w:rPr>
              <w:t>g,i</w:t>
            </w:r>
            <w:proofErr w:type="spellEnd"/>
            <w:proofErr w:type="gramEnd"/>
            <w:r w:rsidRPr="00FF4C0B">
              <w:rPr>
                <w:rFonts w:ascii="Arial" w:hAnsi="Arial" w:cs="Arial"/>
                <w:b/>
                <w:u w:val="single"/>
              </w:rPr>
              <w:tab/>
              <w:t xml:space="preserve">refers to the approved rate of </w:t>
            </w:r>
            <w:r w:rsidRPr="00FF4C0B">
              <w:rPr>
                <w:rFonts w:ascii="Arial" w:hAnsi="Arial" w:cs="Arial"/>
                <w:b/>
                <w:u w:val="single"/>
              </w:rPr>
              <w:lastRenderedPageBreak/>
              <w:t>generating unit</w:t>
            </w:r>
            <w:r w:rsidRPr="00FF4C0B">
              <w:rPr>
                <w:rFonts w:ascii="Arial" w:hAnsi="Arial" w:cs="Arial"/>
                <w:b/>
                <w:i/>
                <w:iCs/>
                <w:u w:val="single"/>
              </w:rPr>
              <w:t xml:space="preserve"> g </w:t>
            </w:r>
            <w:r w:rsidRPr="00FF4C0B">
              <w:rPr>
                <w:rFonts w:ascii="Arial" w:hAnsi="Arial" w:cs="Arial"/>
                <w:b/>
                <w:u w:val="single"/>
              </w:rPr>
              <w:t xml:space="preserve">at dispatch interval </w:t>
            </w:r>
            <w:proofErr w:type="spellStart"/>
            <w:r w:rsidRPr="00FF4C0B">
              <w:rPr>
                <w:rFonts w:ascii="Arial" w:hAnsi="Arial" w:cs="Arial"/>
                <w:b/>
                <w:i/>
                <w:iCs/>
                <w:u w:val="single"/>
              </w:rPr>
              <w:t>i</w:t>
            </w:r>
            <w:proofErr w:type="spellEnd"/>
            <w:r w:rsidRPr="00FF4C0B">
              <w:rPr>
                <w:rFonts w:ascii="Arial" w:hAnsi="Arial" w:cs="Arial"/>
                <w:b/>
                <w:i/>
                <w:iCs/>
                <w:u w:val="single"/>
              </w:rPr>
              <w:t xml:space="preserve"> </w:t>
            </w:r>
            <w:r w:rsidRPr="00FF4C0B">
              <w:rPr>
                <w:rFonts w:ascii="Arial" w:hAnsi="Arial" w:cs="Arial"/>
                <w:b/>
                <w:u w:val="single"/>
              </w:rPr>
              <w:t>based on the evaluation of the claim</w:t>
            </w:r>
          </w:p>
          <w:p w14:paraId="4696538F" w14:textId="77777777" w:rsidR="0071528C" w:rsidRPr="00FF4C0B" w:rsidRDefault="0071528C" w:rsidP="0071528C">
            <w:pPr>
              <w:rPr>
                <w:rFonts w:ascii="Arial" w:hAnsi="Arial" w:cs="Arial"/>
                <w:b/>
                <w:i/>
                <w:iCs/>
                <w:u w:val="single"/>
              </w:rPr>
            </w:pPr>
            <w:proofErr w:type="spellStart"/>
            <w:proofErr w:type="gramStart"/>
            <w:r w:rsidRPr="00FF4C0B">
              <w:rPr>
                <w:rFonts w:ascii="Arial" w:hAnsi="Arial" w:cs="Arial"/>
                <w:b/>
                <w:u w:val="single"/>
              </w:rPr>
              <w:t>FEDP</w:t>
            </w:r>
            <w:r w:rsidRPr="00FF4C0B">
              <w:rPr>
                <w:rFonts w:ascii="Arial" w:hAnsi="Arial" w:cs="Arial"/>
                <w:b/>
                <w:u w:val="single"/>
                <w:vertAlign w:val="subscript"/>
              </w:rPr>
              <w:t>,i</w:t>
            </w:r>
            <w:proofErr w:type="spellEnd"/>
            <w:proofErr w:type="gramEnd"/>
            <w:r w:rsidRPr="00FF4C0B">
              <w:rPr>
                <w:rFonts w:ascii="Arial" w:hAnsi="Arial" w:cs="Arial"/>
                <w:b/>
                <w:u w:val="single"/>
                <w:vertAlign w:val="subscript"/>
              </w:rPr>
              <w:tab/>
            </w:r>
            <w:r w:rsidRPr="00FF4C0B">
              <w:rPr>
                <w:rFonts w:ascii="Arial" w:hAnsi="Arial" w:cs="Arial"/>
                <w:b/>
                <w:u w:val="single"/>
              </w:rPr>
              <w:t xml:space="preserve">refers to the </w:t>
            </w:r>
            <w:r w:rsidRPr="00FF4C0B">
              <w:rPr>
                <w:rFonts w:ascii="Arial" w:hAnsi="Arial" w:cs="Arial"/>
                <w:b/>
                <w:i/>
                <w:u w:val="single"/>
              </w:rPr>
              <w:t>final energy dispatch price of</w:t>
            </w:r>
            <w:r w:rsidRPr="00FF4C0B">
              <w:rPr>
                <w:rFonts w:ascii="Arial" w:hAnsi="Arial" w:cs="Arial"/>
                <w:b/>
                <w:u w:val="single"/>
              </w:rPr>
              <w:t xml:space="preserve"> </w:t>
            </w:r>
            <w:r w:rsidRPr="00FF4C0B">
              <w:rPr>
                <w:rFonts w:ascii="Arial" w:hAnsi="Arial" w:cs="Arial"/>
                <w:b/>
                <w:iCs/>
                <w:u w:val="single"/>
              </w:rPr>
              <w:t xml:space="preserve">generating unit </w:t>
            </w:r>
            <w:r w:rsidRPr="00FF4C0B">
              <w:rPr>
                <w:rFonts w:ascii="Arial" w:hAnsi="Arial" w:cs="Arial"/>
                <w:b/>
                <w:i/>
                <w:iCs/>
                <w:u w:val="single"/>
              </w:rPr>
              <w:t>g</w:t>
            </w:r>
            <w:r w:rsidRPr="00FF4C0B">
              <w:rPr>
                <w:rFonts w:ascii="Arial" w:hAnsi="Arial" w:cs="Arial"/>
                <w:b/>
                <w:u w:val="single"/>
              </w:rPr>
              <w:t xml:space="preserve"> at certain </w:t>
            </w:r>
            <w:r w:rsidRPr="00FF4C0B">
              <w:rPr>
                <w:rFonts w:ascii="Arial" w:hAnsi="Arial" w:cs="Arial"/>
                <w:b/>
                <w:iCs/>
                <w:u w:val="single"/>
              </w:rPr>
              <w:t>dispatch interval</w:t>
            </w:r>
            <w:r w:rsidRPr="00FF4C0B">
              <w:rPr>
                <w:rFonts w:ascii="Arial" w:hAnsi="Arial" w:cs="Arial"/>
                <w:b/>
                <w:i/>
                <w:iCs/>
                <w:u w:val="single"/>
              </w:rPr>
              <w:t xml:space="preserve"> </w:t>
            </w:r>
            <w:proofErr w:type="spellStart"/>
            <w:r w:rsidRPr="00FF4C0B">
              <w:rPr>
                <w:rFonts w:ascii="Arial" w:hAnsi="Arial" w:cs="Arial"/>
                <w:b/>
                <w:i/>
                <w:iCs/>
                <w:u w:val="single"/>
              </w:rPr>
              <w:t>i</w:t>
            </w:r>
            <w:proofErr w:type="spellEnd"/>
          </w:p>
          <w:p w14:paraId="590C1BA9" w14:textId="140F99DC" w:rsidR="0071528C" w:rsidRPr="00691003" w:rsidRDefault="0071528C" w:rsidP="0071528C">
            <w:pPr>
              <w:jc w:val="both"/>
              <w:rPr>
                <w:rFonts w:ascii="Arial" w:hAnsi="Arial" w:cs="Arial"/>
                <w:bCs/>
                <w:sz w:val="24"/>
                <w:szCs w:val="24"/>
              </w:rPr>
            </w:pPr>
          </w:p>
        </w:tc>
        <w:tc>
          <w:tcPr>
            <w:tcW w:w="880" w:type="pct"/>
          </w:tcPr>
          <w:p w14:paraId="32315013" w14:textId="10108139" w:rsidR="0071528C" w:rsidRPr="00691003" w:rsidRDefault="0071528C" w:rsidP="0071528C">
            <w:pPr>
              <w:pStyle w:val="Default"/>
              <w:jc w:val="both"/>
              <w:rPr>
                <w:color w:val="auto"/>
              </w:rPr>
            </w:pPr>
            <w:r w:rsidRPr="00FF4C0B">
              <w:lastRenderedPageBreak/>
              <w:t>To reflect in the WESM Manual the formula for the calculation of the additional compensation claim amount in line with the general principle stated in Section 8.3.1 of the WESM Manual on Price Determination Methodology and as stated in the Business Requirement Document of the CRSS. This forms part of IES’ recommendation in their audit report.</w:t>
            </w:r>
          </w:p>
        </w:tc>
        <w:tc>
          <w:tcPr>
            <w:tcW w:w="823" w:type="pct"/>
            <w:shd w:val="clear" w:color="auto" w:fill="FFFFFF" w:themeFill="background1"/>
          </w:tcPr>
          <w:p w14:paraId="28D9A8F8" w14:textId="77777777" w:rsidR="0071528C" w:rsidRPr="00691003" w:rsidRDefault="0071528C" w:rsidP="0071528C">
            <w:pPr>
              <w:spacing w:line="276" w:lineRule="auto"/>
              <w:jc w:val="both"/>
              <w:rPr>
                <w:rFonts w:ascii="Arial" w:hAnsi="Arial" w:cs="Arial"/>
                <w:sz w:val="24"/>
                <w:szCs w:val="24"/>
              </w:rPr>
            </w:pPr>
          </w:p>
        </w:tc>
        <w:tc>
          <w:tcPr>
            <w:tcW w:w="822" w:type="pct"/>
            <w:shd w:val="clear" w:color="auto" w:fill="FFFFFF" w:themeFill="background1"/>
          </w:tcPr>
          <w:p w14:paraId="4133F12F" w14:textId="77777777" w:rsidR="0071528C" w:rsidRPr="00691003" w:rsidRDefault="0071528C" w:rsidP="0071528C">
            <w:pPr>
              <w:spacing w:line="276" w:lineRule="auto"/>
              <w:jc w:val="both"/>
              <w:rPr>
                <w:rFonts w:ascii="Arial" w:hAnsi="Arial" w:cs="Arial"/>
                <w:sz w:val="24"/>
                <w:szCs w:val="24"/>
              </w:rPr>
            </w:pPr>
          </w:p>
        </w:tc>
      </w:tr>
      <w:tr w:rsidR="0071528C" w:rsidRPr="00691003" w14:paraId="5BB949C2" w14:textId="77777777" w:rsidTr="0071528C">
        <w:tc>
          <w:tcPr>
            <w:tcW w:w="459" w:type="pct"/>
          </w:tcPr>
          <w:p w14:paraId="3EA0B38F" w14:textId="2911643F" w:rsidR="0071528C" w:rsidRPr="00691003" w:rsidRDefault="0071528C" w:rsidP="0071528C">
            <w:pPr>
              <w:jc w:val="both"/>
              <w:rPr>
                <w:rFonts w:ascii="Arial" w:hAnsi="Arial" w:cs="Arial"/>
                <w:sz w:val="24"/>
                <w:szCs w:val="24"/>
              </w:rPr>
            </w:pPr>
            <w:r w:rsidRPr="00FF4C0B">
              <w:rPr>
                <w:rFonts w:ascii="Arial" w:hAnsi="Arial" w:cs="Arial"/>
              </w:rPr>
              <w:t>10.4</w:t>
            </w:r>
          </w:p>
        </w:tc>
        <w:tc>
          <w:tcPr>
            <w:tcW w:w="871" w:type="pct"/>
          </w:tcPr>
          <w:p w14:paraId="3EEAB4DE" w14:textId="1B3F9F07" w:rsidR="0071528C" w:rsidRPr="00691003" w:rsidRDefault="0071528C" w:rsidP="0071528C">
            <w:pPr>
              <w:jc w:val="both"/>
              <w:rPr>
                <w:rFonts w:ascii="Arial" w:hAnsi="Arial" w:cs="Arial"/>
                <w:sz w:val="24"/>
                <w:szCs w:val="24"/>
              </w:rPr>
            </w:pPr>
            <w:r w:rsidRPr="00FF4C0B">
              <w:rPr>
                <w:rFonts w:ascii="Arial" w:hAnsi="Arial" w:cs="Arial"/>
              </w:rPr>
              <w:t>10.4.1</w:t>
            </w:r>
            <w:r w:rsidRPr="00FF4C0B">
              <w:rPr>
                <w:rFonts w:ascii="Arial" w:hAnsi="Arial" w:cs="Arial"/>
              </w:rPr>
              <w:tab/>
              <w:t xml:space="preserve">The </w:t>
            </w:r>
            <w:r w:rsidRPr="00FF4C0B">
              <w:rPr>
                <w:rFonts w:ascii="Arial" w:hAnsi="Arial" w:cs="Arial"/>
                <w:i/>
                <w:iCs/>
              </w:rPr>
              <w:t>Market Operator</w:t>
            </w:r>
            <w:r w:rsidRPr="00FF4C0B">
              <w:rPr>
                <w:rFonts w:ascii="Arial" w:hAnsi="Arial" w:cs="Arial"/>
              </w:rPr>
              <w:t xml:space="preserve"> shall determine the share in the additional compensation amount of each </w:t>
            </w:r>
            <w:r w:rsidRPr="00FF4C0B">
              <w:rPr>
                <w:rFonts w:ascii="Arial" w:hAnsi="Arial" w:cs="Arial"/>
                <w:i/>
                <w:iCs/>
              </w:rPr>
              <w:t>Trading Participant</w:t>
            </w:r>
            <w:r w:rsidRPr="00FF4C0B">
              <w:rPr>
                <w:rFonts w:ascii="Arial" w:hAnsi="Arial" w:cs="Arial"/>
              </w:rPr>
              <w:t xml:space="preserve"> in accordance with the provisions under Section 8.3 of the Price Determination Methodology Manual.</w:t>
            </w:r>
          </w:p>
        </w:tc>
        <w:tc>
          <w:tcPr>
            <w:tcW w:w="1145" w:type="pct"/>
          </w:tcPr>
          <w:p w14:paraId="72C496B9" w14:textId="77777777" w:rsidR="0071528C" w:rsidRPr="00FF4C0B" w:rsidRDefault="0071528C" w:rsidP="0071528C">
            <w:pPr>
              <w:rPr>
                <w:rFonts w:ascii="Arial" w:hAnsi="Arial" w:cs="Arial"/>
                <w:b/>
                <w:bCs/>
                <w:u w:val="single"/>
              </w:rPr>
            </w:pPr>
            <w:r w:rsidRPr="00FF4C0B">
              <w:rPr>
                <w:rFonts w:ascii="Arial" w:hAnsi="Arial" w:cs="Arial"/>
                <w:strike/>
              </w:rPr>
              <w:t>10.4.1</w:t>
            </w:r>
            <w:r w:rsidRPr="00FF4C0B">
              <w:rPr>
                <w:rFonts w:ascii="Arial" w:hAnsi="Arial" w:cs="Arial"/>
                <w:strike/>
              </w:rPr>
              <w:tab/>
            </w:r>
            <w:r w:rsidRPr="00FF4C0B">
              <w:rPr>
                <w:rFonts w:ascii="Arial" w:hAnsi="Arial" w:cs="Arial"/>
              </w:rPr>
              <w:t xml:space="preserve"> </w:t>
            </w:r>
            <w:r w:rsidRPr="00FF4C0B">
              <w:rPr>
                <w:rFonts w:ascii="Arial" w:hAnsi="Arial" w:cs="Arial"/>
                <w:b/>
                <w:bCs/>
                <w:u w:val="single"/>
              </w:rPr>
              <w:t xml:space="preserve">10.4.2 </w:t>
            </w:r>
            <w:r w:rsidRPr="00FF4C0B">
              <w:rPr>
                <w:rFonts w:ascii="Arial" w:hAnsi="Arial" w:cs="Arial"/>
              </w:rPr>
              <w:t xml:space="preserve">The </w:t>
            </w:r>
            <w:r w:rsidRPr="00FF4C0B">
              <w:rPr>
                <w:rFonts w:ascii="Arial" w:hAnsi="Arial" w:cs="Arial"/>
                <w:i/>
                <w:iCs/>
              </w:rPr>
              <w:t>Market Operator</w:t>
            </w:r>
            <w:r w:rsidRPr="00FF4C0B">
              <w:rPr>
                <w:rFonts w:ascii="Arial" w:hAnsi="Arial" w:cs="Arial"/>
              </w:rPr>
              <w:t xml:space="preserve"> shall determine the share in the additional compensation amount of each </w:t>
            </w:r>
            <w:r w:rsidRPr="00FF4C0B">
              <w:rPr>
                <w:rFonts w:ascii="Arial" w:hAnsi="Arial" w:cs="Arial"/>
                <w:i/>
                <w:iCs/>
              </w:rPr>
              <w:t>Trading Participant</w:t>
            </w:r>
            <w:r w:rsidRPr="00FF4C0B">
              <w:rPr>
                <w:rFonts w:ascii="Arial" w:hAnsi="Arial" w:cs="Arial"/>
              </w:rPr>
              <w:t xml:space="preserve"> in accordance with the provisions under Section 8.3 of the Price Determination Methodology Manual. </w:t>
            </w:r>
            <w:r w:rsidRPr="00FF4C0B">
              <w:rPr>
                <w:rFonts w:ascii="Arial" w:hAnsi="Arial" w:cs="Arial"/>
                <w:b/>
                <w:bCs/>
                <w:u w:val="single"/>
              </w:rPr>
              <w:t xml:space="preserve">For each claim category, the additional compensation amount shall be pro-rated among the customers in the same region based on </w:t>
            </w:r>
            <w:r w:rsidRPr="00FF4C0B">
              <w:rPr>
                <w:rFonts w:ascii="Arial" w:hAnsi="Arial" w:cs="Arial"/>
                <w:b/>
                <w:bCs/>
                <w:i/>
                <w:iCs/>
                <w:u w:val="single"/>
              </w:rPr>
              <w:t>gross energy settlement quantities</w:t>
            </w:r>
            <w:r w:rsidRPr="00FF4C0B">
              <w:rPr>
                <w:rFonts w:ascii="Arial" w:hAnsi="Arial" w:cs="Arial"/>
                <w:b/>
                <w:bCs/>
                <w:u w:val="single"/>
              </w:rPr>
              <w:t xml:space="preserve"> in accordance with the following formula</w:t>
            </w:r>
          </w:p>
          <w:p w14:paraId="7AD72679" w14:textId="77777777" w:rsidR="0071528C" w:rsidRPr="00FF4C0B" w:rsidRDefault="0071528C" w:rsidP="0071528C">
            <w:pPr>
              <w:rPr>
                <w:rFonts w:ascii="Arial" w:hAnsi="Arial" w:cs="Arial"/>
                <w:b/>
                <w:u w:val="single"/>
              </w:rPr>
            </w:pPr>
          </w:p>
          <w:p w14:paraId="2AEBE61F" w14:textId="77777777" w:rsidR="0071528C" w:rsidRPr="00FF4C0B" w:rsidRDefault="0071528C" w:rsidP="0071528C">
            <w:pPr>
              <w:rPr>
                <w:rFonts w:ascii="Arial" w:eastAsiaTheme="minorEastAsia" w:hAnsi="Arial" w:cs="Arial"/>
                <w:iCs/>
                <w:color w:val="000000" w:themeColor="text1"/>
                <w:u w:val="single"/>
              </w:rPr>
            </w:pPr>
            <m:oMathPara>
              <m:oMath>
                <m:sSub>
                  <m:sSubPr>
                    <m:ctrlPr>
                      <w:rPr>
                        <w:rFonts w:ascii="Cambria Math" w:hAnsi="Cambria Math" w:cs="Arial"/>
                        <w:b/>
                        <w:bCs/>
                        <w:iCs/>
                        <w:color w:val="000000" w:themeColor="text1"/>
                        <w:u w:val="single"/>
                      </w:rPr>
                    </m:ctrlPr>
                  </m:sSubPr>
                  <m:e>
                    <m:r>
                      <m:rPr>
                        <m:nor/>
                      </m:rPr>
                      <w:rPr>
                        <w:rFonts w:ascii="Arial" w:hAnsi="Arial" w:cs="Arial"/>
                        <w:b/>
                        <w:bCs/>
                        <w:iCs/>
                        <w:color w:val="000000" w:themeColor="text1"/>
                        <w:u w:val="single"/>
                      </w:rPr>
                      <m:t>Allocation</m:t>
                    </m:r>
                  </m:e>
                  <m:sub>
                    <m:r>
                      <m:rPr>
                        <m:sty m:val="bi"/>
                      </m:rPr>
                      <w:rPr>
                        <w:rFonts w:ascii="Cambria Math" w:hAnsi="Cambria Math" w:cs="Arial"/>
                        <w:color w:val="000000" w:themeColor="text1"/>
                        <w:u w:val="single"/>
                      </w:rPr>
                      <m:t>c</m:t>
                    </m:r>
                    <m:r>
                      <m:rPr>
                        <m:nor/>
                      </m:rPr>
                      <w:rPr>
                        <w:rFonts w:ascii="Arial" w:hAnsi="Arial" w:cs="Arial"/>
                        <w:b/>
                        <w:bCs/>
                        <w:iCs/>
                        <w:color w:val="000000" w:themeColor="text1"/>
                        <w:u w:val="single"/>
                      </w:rPr>
                      <m:t>,i</m:t>
                    </m:r>
                  </m:sub>
                </m:sSub>
                <m:r>
                  <m:rPr>
                    <m:nor/>
                  </m:rPr>
                  <w:rPr>
                    <w:rFonts w:ascii="Arial" w:hAnsi="Arial" w:cs="Arial"/>
                    <w:b/>
                    <w:bCs/>
                    <w:iCs/>
                    <w:color w:val="000000" w:themeColor="text1"/>
                    <w:u w:val="single"/>
                  </w:rPr>
                  <m:t xml:space="preserve"> = </m:t>
                </m:r>
                <m:sSub>
                  <m:sSubPr>
                    <m:ctrlPr>
                      <w:rPr>
                        <w:rFonts w:ascii="Cambria Math" w:hAnsi="Cambria Math" w:cs="Arial"/>
                        <w:b/>
                        <w:bCs/>
                        <w:iCs/>
                        <w:color w:val="000000" w:themeColor="text1"/>
                        <w:u w:val="single"/>
                      </w:rPr>
                    </m:ctrlPr>
                  </m:sSubPr>
                  <m:e>
                    <m:r>
                      <m:rPr>
                        <m:nor/>
                      </m:rPr>
                      <w:rPr>
                        <w:rFonts w:ascii="Arial" w:hAnsi="Arial" w:cs="Arial"/>
                        <w:b/>
                        <w:bCs/>
                        <w:iCs/>
                        <w:color w:val="000000" w:themeColor="text1"/>
                        <w:u w:val="single"/>
                      </w:rPr>
                      <m:t>ACR</m:t>
                    </m:r>
                  </m:e>
                  <m:sub>
                    <m:r>
                      <m:rPr>
                        <m:sty m:val="bi"/>
                      </m:rPr>
                      <w:rPr>
                        <w:rFonts w:ascii="Cambria Math" w:hAnsi="Cambria Math" w:cs="Arial"/>
                        <w:color w:val="000000" w:themeColor="text1"/>
                        <w:u w:val="single"/>
                      </w:rPr>
                      <m:t>R</m:t>
                    </m:r>
                    <m:r>
                      <m:rPr>
                        <m:nor/>
                      </m:rPr>
                      <w:rPr>
                        <w:rFonts w:ascii="Arial" w:hAnsi="Arial" w:cs="Arial"/>
                        <w:b/>
                        <w:bCs/>
                        <w:iCs/>
                        <w:color w:val="000000" w:themeColor="text1"/>
                        <w:u w:val="single"/>
                      </w:rPr>
                      <m:t>,i</m:t>
                    </m:r>
                  </m:sub>
                </m:sSub>
                <m:r>
                  <m:rPr>
                    <m:sty m:val="b"/>
                  </m:rPr>
                  <w:rPr>
                    <w:rFonts w:ascii="Cambria Math" w:hAnsi="Cambria Math" w:cs="Arial"/>
                    <w:color w:val="000000" w:themeColor="text1"/>
                    <w:u w:val="single"/>
                  </w:rPr>
                  <m:t xml:space="preserve"> x </m:t>
                </m:r>
                <m:f>
                  <m:fPr>
                    <m:ctrlPr>
                      <w:rPr>
                        <w:rFonts w:ascii="Cambria Math" w:hAnsi="Cambria Math" w:cs="Arial"/>
                        <w:b/>
                        <w:bCs/>
                        <w:i/>
                        <w:iCs/>
                        <w:color w:val="000000" w:themeColor="text1"/>
                        <w:u w:val="single"/>
                      </w:rPr>
                    </m:ctrlPr>
                  </m:fPr>
                  <m:num>
                    <m:sSub>
                      <m:sSubPr>
                        <m:ctrlPr>
                          <w:rPr>
                            <w:rFonts w:ascii="Cambria Math" w:hAnsi="Cambria Math" w:cs="Arial"/>
                            <w:b/>
                            <w:bCs/>
                            <w:iCs/>
                            <w:color w:val="000000" w:themeColor="text1"/>
                            <w:u w:val="single"/>
                          </w:rPr>
                        </m:ctrlPr>
                      </m:sSubPr>
                      <m:e>
                        <m:r>
                          <m:rPr>
                            <m:sty m:val="bi"/>
                          </m:rPr>
                          <w:rPr>
                            <w:rFonts w:ascii="Cambria Math" w:hAnsi="Cambria Math" w:cs="Arial"/>
                            <w:color w:val="000000" w:themeColor="text1"/>
                            <w:u w:val="single"/>
                          </w:rPr>
                          <m:t>GESQ</m:t>
                        </m:r>
                      </m:e>
                      <m:sub>
                        <m:r>
                          <m:rPr>
                            <m:sty m:val="bi"/>
                          </m:rPr>
                          <w:rPr>
                            <w:rFonts w:ascii="Cambria Math" w:hAnsi="Cambria Math" w:cs="Arial"/>
                            <w:color w:val="000000" w:themeColor="text1"/>
                            <w:u w:val="single"/>
                          </w:rPr>
                          <m:t>c</m:t>
                        </m:r>
                        <m:r>
                          <m:rPr>
                            <m:nor/>
                          </m:rPr>
                          <w:rPr>
                            <w:rFonts w:ascii="Arial" w:hAnsi="Arial" w:cs="Arial"/>
                            <w:b/>
                            <w:bCs/>
                            <w:iCs/>
                            <w:color w:val="000000" w:themeColor="text1"/>
                            <w:u w:val="single"/>
                          </w:rPr>
                          <m:t>,i</m:t>
                        </m:r>
                      </m:sub>
                    </m:sSub>
                  </m:num>
                  <m:den>
                    <m:nary>
                      <m:naryPr>
                        <m:chr m:val="∑"/>
                        <m:limLoc m:val="subSup"/>
                        <m:supHide m:val="1"/>
                        <m:ctrlPr>
                          <w:rPr>
                            <w:rFonts w:ascii="Cambria Math" w:hAnsi="Cambria Math" w:cs="Arial"/>
                            <w:b/>
                            <w:bCs/>
                            <w:i/>
                            <w:iCs/>
                            <w:color w:val="000000" w:themeColor="text1"/>
                            <w:u w:val="single"/>
                          </w:rPr>
                        </m:ctrlPr>
                      </m:naryPr>
                      <m:sub>
                        <m:r>
                          <m:rPr>
                            <m:sty m:val="b"/>
                          </m:rPr>
                          <w:rPr>
                            <w:rFonts w:ascii="Cambria Math" w:hAnsi="Cambria Math" w:cs="Arial"/>
                            <w:u w:val="single"/>
                          </w:rPr>
                          <m:t xml:space="preserve"> C∈R</m:t>
                        </m:r>
                      </m:sub>
                      <m:sup/>
                      <m:e>
                        <m:sSub>
                          <m:sSubPr>
                            <m:ctrlPr>
                              <w:rPr>
                                <w:rFonts w:ascii="Cambria Math" w:hAnsi="Cambria Math" w:cs="Arial"/>
                                <w:b/>
                                <w:bCs/>
                                <w:i/>
                                <w:iCs/>
                                <w:color w:val="000000" w:themeColor="text1"/>
                                <w:u w:val="single"/>
                              </w:rPr>
                            </m:ctrlPr>
                          </m:sSubPr>
                          <m:e>
                            <m:r>
                              <m:rPr>
                                <m:sty m:val="bi"/>
                              </m:rPr>
                              <w:rPr>
                                <w:rFonts w:ascii="Cambria Math" w:hAnsi="Cambria Math" w:cs="Arial"/>
                                <w:color w:val="000000" w:themeColor="text1"/>
                                <w:u w:val="single"/>
                              </w:rPr>
                              <m:t>GESQ</m:t>
                            </m:r>
                          </m:e>
                          <m:sub>
                            <m:r>
                              <m:rPr>
                                <m:sty m:val="bi"/>
                              </m:rPr>
                              <w:rPr>
                                <w:rFonts w:ascii="Cambria Math" w:hAnsi="Cambria Math" w:cs="Arial"/>
                                <w:color w:val="000000" w:themeColor="text1"/>
                                <w:u w:val="single"/>
                              </w:rPr>
                              <m:t>C,i</m:t>
                            </m:r>
                          </m:sub>
                        </m:sSub>
                      </m:e>
                    </m:nary>
                  </m:den>
                </m:f>
              </m:oMath>
            </m:oMathPara>
          </w:p>
          <w:p w14:paraId="36E7F7F9" w14:textId="77777777" w:rsidR="0071528C" w:rsidRPr="00FF4C0B" w:rsidRDefault="0071528C" w:rsidP="0071528C">
            <w:pPr>
              <w:rPr>
                <w:rFonts w:ascii="Arial" w:eastAsiaTheme="minorEastAsia" w:hAnsi="Arial" w:cs="Arial"/>
                <w:u w:val="single"/>
              </w:rPr>
            </w:pPr>
          </w:p>
          <w:p w14:paraId="7C20D495" w14:textId="77777777" w:rsidR="0071528C" w:rsidRPr="00FF4C0B" w:rsidRDefault="0071528C" w:rsidP="0071528C">
            <w:pPr>
              <w:rPr>
                <w:rFonts w:ascii="Arial" w:eastAsiaTheme="minorEastAsia" w:hAnsi="Arial" w:cs="Arial"/>
                <w:b/>
                <w:bCs/>
                <w:u w:val="single"/>
              </w:rPr>
            </w:pPr>
            <w:r w:rsidRPr="00FF4C0B">
              <w:rPr>
                <w:rFonts w:ascii="Arial" w:eastAsiaTheme="minorEastAsia" w:hAnsi="Arial" w:cs="Arial"/>
                <w:b/>
                <w:bCs/>
                <w:u w:val="single"/>
              </w:rPr>
              <w:t>Where:</w:t>
            </w:r>
          </w:p>
          <w:p w14:paraId="12886320" w14:textId="77777777" w:rsidR="0071528C" w:rsidRPr="00FF4C0B" w:rsidRDefault="0071528C" w:rsidP="0071528C">
            <w:pPr>
              <w:pStyle w:val="Default"/>
              <w:ind w:left="1594" w:hanging="1559"/>
              <w:rPr>
                <w:b/>
                <w:bCs/>
                <w:sz w:val="22"/>
                <w:szCs w:val="22"/>
                <w:u w:val="single"/>
              </w:rPr>
            </w:pPr>
            <w:proofErr w:type="spellStart"/>
            <w:proofErr w:type="gramStart"/>
            <w:r w:rsidRPr="00FF4C0B">
              <w:rPr>
                <w:b/>
                <w:bCs/>
                <w:sz w:val="22"/>
                <w:szCs w:val="22"/>
                <w:u w:val="single"/>
              </w:rPr>
              <w:t>Allocation</w:t>
            </w:r>
            <w:r w:rsidRPr="00FF4C0B">
              <w:rPr>
                <w:b/>
                <w:bCs/>
                <w:sz w:val="22"/>
                <w:szCs w:val="22"/>
                <w:u w:val="single"/>
                <w:vertAlign w:val="subscript"/>
              </w:rPr>
              <w:t>c,i</w:t>
            </w:r>
            <w:proofErr w:type="spellEnd"/>
            <w:proofErr w:type="gramEnd"/>
            <w:r w:rsidRPr="00FF4C0B">
              <w:rPr>
                <w:b/>
                <w:bCs/>
                <w:sz w:val="22"/>
                <w:szCs w:val="22"/>
                <w:u w:val="single"/>
              </w:rPr>
              <w:t xml:space="preserve">   refers to the amount recovered for customer </w:t>
            </w:r>
            <w:proofErr w:type="spellStart"/>
            <w:r w:rsidRPr="00FF4C0B">
              <w:rPr>
                <w:b/>
                <w:bCs/>
                <w:i/>
                <w:iCs/>
                <w:sz w:val="22"/>
                <w:szCs w:val="22"/>
                <w:u w:val="single"/>
              </w:rPr>
              <w:t>c</w:t>
            </w:r>
            <w:r w:rsidRPr="00FF4C0B">
              <w:rPr>
                <w:b/>
                <w:bCs/>
                <w:sz w:val="22"/>
                <w:szCs w:val="22"/>
                <w:u w:val="single"/>
              </w:rPr>
              <w:t xml:space="preserve"> at</w:t>
            </w:r>
            <w:proofErr w:type="spellEnd"/>
            <w:r w:rsidRPr="00FF4C0B">
              <w:rPr>
                <w:b/>
                <w:bCs/>
                <w:sz w:val="22"/>
                <w:szCs w:val="22"/>
                <w:u w:val="single"/>
              </w:rPr>
              <w:t xml:space="preserve"> </w:t>
            </w:r>
            <w:r w:rsidRPr="00FF4C0B">
              <w:rPr>
                <w:b/>
                <w:bCs/>
                <w:i/>
                <w:iCs/>
                <w:sz w:val="22"/>
                <w:szCs w:val="22"/>
                <w:u w:val="single"/>
              </w:rPr>
              <w:t xml:space="preserve">dispatch interval </w:t>
            </w:r>
            <w:proofErr w:type="spellStart"/>
            <w:r w:rsidRPr="00FF4C0B">
              <w:rPr>
                <w:b/>
                <w:bCs/>
                <w:i/>
                <w:iCs/>
                <w:sz w:val="22"/>
                <w:szCs w:val="22"/>
                <w:u w:val="single"/>
              </w:rPr>
              <w:t>i</w:t>
            </w:r>
            <w:proofErr w:type="spellEnd"/>
            <w:r w:rsidRPr="00FF4C0B">
              <w:rPr>
                <w:b/>
                <w:bCs/>
                <w:sz w:val="22"/>
                <w:szCs w:val="22"/>
                <w:u w:val="single"/>
              </w:rPr>
              <w:t xml:space="preserve"> </w:t>
            </w:r>
          </w:p>
          <w:p w14:paraId="154F7401" w14:textId="77777777" w:rsidR="0071528C" w:rsidRPr="00FF4C0B" w:rsidRDefault="0071528C" w:rsidP="0071528C">
            <w:pPr>
              <w:pStyle w:val="Default"/>
              <w:ind w:left="1451" w:hanging="1451"/>
              <w:rPr>
                <w:b/>
                <w:bCs/>
                <w:sz w:val="22"/>
                <w:szCs w:val="22"/>
                <w:u w:val="single"/>
              </w:rPr>
            </w:pPr>
          </w:p>
          <w:p w14:paraId="242218BE" w14:textId="77777777" w:rsidR="0071528C" w:rsidRPr="00FF4C0B" w:rsidRDefault="0071528C" w:rsidP="0071528C">
            <w:pPr>
              <w:pStyle w:val="Default"/>
              <w:ind w:left="1456" w:hanging="1417"/>
              <w:rPr>
                <w:b/>
                <w:bCs/>
                <w:sz w:val="22"/>
                <w:szCs w:val="22"/>
                <w:u w:val="single"/>
              </w:rPr>
            </w:pPr>
            <w:proofErr w:type="spellStart"/>
            <w:proofErr w:type="gramStart"/>
            <w:r w:rsidRPr="00FF4C0B">
              <w:rPr>
                <w:b/>
                <w:bCs/>
                <w:sz w:val="22"/>
                <w:szCs w:val="22"/>
                <w:u w:val="single"/>
              </w:rPr>
              <w:t>ACR</w:t>
            </w:r>
            <w:r w:rsidRPr="00FF4C0B">
              <w:rPr>
                <w:b/>
                <w:bCs/>
                <w:sz w:val="22"/>
                <w:szCs w:val="22"/>
                <w:u w:val="single"/>
                <w:vertAlign w:val="subscript"/>
              </w:rPr>
              <w:t>R,i</w:t>
            </w:r>
            <w:proofErr w:type="spellEnd"/>
            <w:proofErr w:type="gramEnd"/>
            <w:r w:rsidRPr="00FF4C0B">
              <w:rPr>
                <w:b/>
                <w:bCs/>
                <w:sz w:val="22"/>
                <w:szCs w:val="22"/>
                <w:u w:val="single"/>
              </w:rPr>
              <w:t xml:space="preserve">         refers to the Additional Compensation Claim for region </w:t>
            </w:r>
            <w:proofErr w:type="spellStart"/>
            <w:r w:rsidRPr="00FF4C0B">
              <w:rPr>
                <w:b/>
                <w:bCs/>
                <w:i/>
                <w:iCs/>
                <w:sz w:val="22"/>
                <w:szCs w:val="22"/>
                <w:u w:val="single"/>
              </w:rPr>
              <w:t>R</w:t>
            </w:r>
            <w:r w:rsidRPr="00FF4C0B">
              <w:rPr>
                <w:b/>
                <w:bCs/>
                <w:sz w:val="22"/>
                <w:szCs w:val="22"/>
                <w:u w:val="single"/>
              </w:rPr>
              <w:t xml:space="preserve"> at</w:t>
            </w:r>
            <w:proofErr w:type="spellEnd"/>
            <w:r w:rsidRPr="00FF4C0B">
              <w:rPr>
                <w:b/>
                <w:bCs/>
                <w:sz w:val="22"/>
                <w:szCs w:val="22"/>
                <w:u w:val="single"/>
              </w:rPr>
              <w:t xml:space="preserve"> </w:t>
            </w:r>
            <w:r w:rsidRPr="00FF4C0B">
              <w:rPr>
                <w:b/>
                <w:bCs/>
                <w:i/>
                <w:iCs/>
                <w:sz w:val="22"/>
                <w:szCs w:val="22"/>
                <w:u w:val="single"/>
              </w:rPr>
              <w:t xml:space="preserve">dispatch interval </w:t>
            </w:r>
            <w:proofErr w:type="spellStart"/>
            <w:r w:rsidRPr="00FF4C0B">
              <w:rPr>
                <w:b/>
                <w:bCs/>
                <w:i/>
                <w:iCs/>
                <w:sz w:val="22"/>
                <w:szCs w:val="22"/>
                <w:u w:val="single"/>
              </w:rPr>
              <w:t>i</w:t>
            </w:r>
            <w:proofErr w:type="spellEnd"/>
            <w:r w:rsidRPr="00FF4C0B">
              <w:rPr>
                <w:b/>
                <w:bCs/>
                <w:sz w:val="22"/>
                <w:szCs w:val="22"/>
                <w:u w:val="single"/>
              </w:rPr>
              <w:t xml:space="preserve"> </w:t>
            </w:r>
          </w:p>
          <w:p w14:paraId="4B1BE459" w14:textId="77777777" w:rsidR="0071528C" w:rsidRPr="00FF4C0B" w:rsidRDefault="0071528C" w:rsidP="0071528C">
            <w:pPr>
              <w:pStyle w:val="Default"/>
              <w:rPr>
                <w:b/>
                <w:bCs/>
                <w:sz w:val="22"/>
                <w:szCs w:val="22"/>
                <w:u w:val="single"/>
              </w:rPr>
            </w:pPr>
          </w:p>
          <w:p w14:paraId="0814146F" w14:textId="77777777" w:rsidR="0071528C" w:rsidRPr="00FF4C0B" w:rsidRDefault="0071528C" w:rsidP="0071528C">
            <w:pPr>
              <w:pStyle w:val="Default"/>
              <w:ind w:left="1456" w:hanging="1456"/>
              <w:rPr>
                <w:b/>
                <w:bCs/>
                <w:sz w:val="22"/>
                <w:szCs w:val="22"/>
                <w:u w:val="single"/>
              </w:rPr>
            </w:pPr>
            <w:proofErr w:type="spellStart"/>
            <w:proofErr w:type="gramStart"/>
            <w:r w:rsidRPr="00FF4C0B">
              <w:rPr>
                <w:b/>
                <w:bCs/>
                <w:sz w:val="22"/>
                <w:szCs w:val="22"/>
                <w:u w:val="single"/>
              </w:rPr>
              <w:t>GESQ</w:t>
            </w:r>
            <w:r w:rsidRPr="00FF4C0B">
              <w:rPr>
                <w:b/>
                <w:bCs/>
                <w:sz w:val="22"/>
                <w:szCs w:val="22"/>
                <w:u w:val="single"/>
                <w:vertAlign w:val="subscript"/>
              </w:rPr>
              <w:t>c,i</w:t>
            </w:r>
            <w:proofErr w:type="spellEnd"/>
            <w:proofErr w:type="gramEnd"/>
            <w:r w:rsidRPr="00FF4C0B">
              <w:rPr>
                <w:b/>
                <w:bCs/>
                <w:sz w:val="22"/>
                <w:szCs w:val="22"/>
                <w:u w:val="single"/>
              </w:rPr>
              <w:t xml:space="preserve">        refers to the gross energy settlement quantity for customer </w:t>
            </w:r>
            <w:proofErr w:type="spellStart"/>
            <w:r w:rsidRPr="00FF4C0B">
              <w:rPr>
                <w:b/>
                <w:bCs/>
                <w:i/>
                <w:iCs/>
                <w:sz w:val="22"/>
                <w:szCs w:val="22"/>
                <w:u w:val="single"/>
              </w:rPr>
              <w:t>c</w:t>
            </w:r>
            <w:r w:rsidRPr="00FF4C0B">
              <w:rPr>
                <w:b/>
                <w:bCs/>
                <w:sz w:val="22"/>
                <w:szCs w:val="22"/>
                <w:u w:val="single"/>
              </w:rPr>
              <w:t xml:space="preserve"> at</w:t>
            </w:r>
            <w:proofErr w:type="spellEnd"/>
            <w:r w:rsidRPr="00FF4C0B">
              <w:rPr>
                <w:b/>
                <w:bCs/>
                <w:sz w:val="22"/>
                <w:szCs w:val="22"/>
                <w:u w:val="single"/>
              </w:rPr>
              <w:t xml:space="preserve"> </w:t>
            </w:r>
            <w:r w:rsidRPr="00FF4C0B">
              <w:rPr>
                <w:b/>
                <w:bCs/>
                <w:i/>
                <w:iCs/>
                <w:sz w:val="22"/>
                <w:szCs w:val="22"/>
                <w:u w:val="single"/>
              </w:rPr>
              <w:t xml:space="preserve">dispatch interval </w:t>
            </w:r>
            <w:proofErr w:type="spellStart"/>
            <w:r w:rsidRPr="00FF4C0B">
              <w:rPr>
                <w:b/>
                <w:bCs/>
                <w:i/>
                <w:iCs/>
                <w:sz w:val="22"/>
                <w:szCs w:val="22"/>
                <w:u w:val="single"/>
              </w:rPr>
              <w:t>i</w:t>
            </w:r>
            <w:proofErr w:type="spellEnd"/>
            <w:r w:rsidRPr="00FF4C0B">
              <w:rPr>
                <w:b/>
                <w:bCs/>
                <w:sz w:val="22"/>
                <w:szCs w:val="22"/>
                <w:u w:val="single"/>
              </w:rPr>
              <w:t xml:space="preserve"> </w:t>
            </w:r>
          </w:p>
          <w:p w14:paraId="0560A199" w14:textId="77777777" w:rsidR="0071528C" w:rsidRPr="00FF4C0B" w:rsidRDefault="0071528C" w:rsidP="0071528C">
            <w:pPr>
              <w:pStyle w:val="Default"/>
              <w:rPr>
                <w:b/>
                <w:bCs/>
                <w:sz w:val="22"/>
                <w:szCs w:val="22"/>
                <w:u w:val="single"/>
              </w:rPr>
            </w:pPr>
          </w:p>
          <w:p w14:paraId="672411B1" w14:textId="77777777" w:rsidR="0071528C" w:rsidRPr="00FF4C0B" w:rsidRDefault="0071528C" w:rsidP="0071528C">
            <w:pPr>
              <w:rPr>
                <w:rFonts w:ascii="Arial" w:hAnsi="Arial" w:cs="Arial"/>
                <w:b/>
                <w:bCs/>
                <w:i/>
                <w:iCs/>
                <w:u w:val="single"/>
              </w:rPr>
            </w:pPr>
            <m:oMath>
              <m:nary>
                <m:naryPr>
                  <m:chr m:val="∑"/>
                  <m:limLoc m:val="subSup"/>
                  <m:supHide m:val="1"/>
                  <m:ctrlPr>
                    <w:rPr>
                      <w:rFonts w:ascii="Cambria Math" w:hAnsi="Cambria Math" w:cs="Arial"/>
                      <w:b/>
                      <w:bCs/>
                      <w:u w:val="single"/>
                    </w:rPr>
                  </m:ctrlPr>
                </m:naryPr>
                <m:sub>
                  <m:r>
                    <m:rPr>
                      <m:sty m:val="b"/>
                    </m:rPr>
                    <w:rPr>
                      <w:rFonts w:ascii="Cambria Math" w:hAnsi="Cambria Math" w:cs="Arial"/>
                      <w:u w:val="single"/>
                    </w:rPr>
                    <m:t xml:space="preserve"> C∈R</m:t>
                  </m:r>
                </m:sub>
                <m:sup/>
                <m:e>
                  <m:sSub>
                    <m:sSubPr>
                      <m:ctrlPr>
                        <w:rPr>
                          <w:rFonts w:ascii="Cambria Math" w:hAnsi="Cambria Math" w:cs="Arial"/>
                          <w:b/>
                          <w:bCs/>
                          <w:u w:val="single"/>
                        </w:rPr>
                      </m:ctrlPr>
                    </m:sSubPr>
                    <m:e>
                      <m:r>
                        <m:rPr>
                          <m:sty m:val="b"/>
                        </m:rPr>
                        <w:rPr>
                          <w:rFonts w:ascii="Cambria Math" w:hAnsi="Cambria Math" w:cs="Arial"/>
                          <w:u w:val="single"/>
                        </w:rPr>
                        <m:t>GESQ</m:t>
                      </m:r>
                    </m:e>
                    <m:sub>
                      <m:r>
                        <m:rPr>
                          <m:sty m:val="bi"/>
                        </m:rPr>
                        <w:rPr>
                          <w:rFonts w:ascii="Cambria Math" w:hAnsi="Cambria Math" w:cs="Arial"/>
                          <w:u w:val="single"/>
                        </w:rPr>
                        <m:t>C</m:t>
                      </m:r>
                      <m:r>
                        <m:rPr>
                          <m:sty m:val="b"/>
                        </m:rPr>
                        <w:rPr>
                          <w:rFonts w:ascii="Cambria Math" w:hAnsi="Cambria Math" w:cs="Arial"/>
                          <w:u w:val="single"/>
                        </w:rPr>
                        <m:t>,i</m:t>
                      </m:r>
                    </m:sub>
                  </m:sSub>
                </m:e>
              </m:nary>
              <m:r>
                <m:rPr>
                  <m:sty m:val="b"/>
                </m:rPr>
                <w:rPr>
                  <w:rFonts w:ascii="Cambria Math" w:hAnsi="Cambria Math" w:cs="Arial"/>
                  <w:u w:val="single"/>
                </w:rPr>
                <m:t xml:space="preserve">   </m:t>
              </m:r>
            </m:oMath>
            <w:r w:rsidRPr="00FF4C0B">
              <w:rPr>
                <w:rFonts w:ascii="Arial" w:eastAsiaTheme="minorEastAsia" w:hAnsi="Arial" w:cs="Arial"/>
                <w:b/>
                <w:bCs/>
                <w:u w:val="single"/>
              </w:rPr>
              <w:t xml:space="preserve">refers to the total </w:t>
            </w:r>
            <w:r w:rsidRPr="00FF4C0B">
              <w:rPr>
                <w:rFonts w:ascii="Arial" w:hAnsi="Arial" w:cs="Arial"/>
                <w:b/>
                <w:bCs/>
                <w:u w:val="single"/>
              </w:rPr>
              <w:t xml:space="preserve">gross energy settlement quantity in region </w:t>
            </w:r>
            <w:proofErr w:type="spellStart"/>
            <w:r w:rsidRPr="00FF4C0B">
              <w:rPr>
                <w:rFonts w:ascii="Arial" w:hAnsi="Arial" w:cs="Arial"/>
                <w:b/>
                <w:bCs/>
                <w:i/>
                <w:iCs/>
                <w:u w:val="single"/>
              </w:rPr>
              <w:t>R</w:t>
            </w:r>
            <w:r w:rsidRPr="00FF4C0B">
              <w:rPr>
                <w:rFonts w:ascii="Arial" w:hAnsi="Arial" w:cs="Arial"/>
                <w:b/>
                <w:bCs/>
                <w:u w:val="single"/>
              </w:rPr>
              <w:t xml:space="preserve"> at</w:t>
            </w:r>
            <w:proofErr w:type="spellEnd"/>
            <w:r w:rsidRPr="00FF4C0B">
              <w:rPr>
                <w:rFonts w:ascii="Arial" w:hAnsi="Arial" w:cs="Arial"/>
                <w:b/>
                <w:bCs/>
                <w:u w:val="single"/>
              </w:rPr>
              <w:t xml:space="preserve"> </w:t>
            </w:r>
            <w:r w:rsidRPr="00FF4C0B">
              <w:rPr>
                <w:rFonts w:ascii="Arial" w:hAnsi="Arial" w:cs="Arial"/>
                <w:b/>
                <w:bCs/>
                <w:i/>
                <w:iCs/>
                <w:u w:val="single"/>
              </w:rPr>
              <w:t xml:space="preserve">dispatch interval </w:t>
            </w:r>
            <w:proofErr w:type="spellStart"/>
            <w:r w:rsidRPr="00FF4C0B">
              <w:rPr>
                <w:rFonts w:ascii="Arial" w:hAnsi="Arial" w:cs="Arial"/>
                <w:b/>
                <w:bCs/>
                <w:i/>
                <w:iCs/>
                <w:u w:val="single"/>
              </w:rPr>
              <w:t>i</w:t>
            </w:r>
            <w:proofErr w:type="spellEnd"/>
          </w:p>
          <w:p w14:paraId="6345740A" w14:textId="240C0A36" w:rsidR="0071528C" w:rsidRPr="00691003" w:rsidRDefault="0071528C" w:rsidP="0071528C">
            <w:pPr>
              <w:jc w:val="both"/>
              <w:rPr>
                <w:rFonts w:ascii="Arial" w:hAnsi="Arial" w:cs="Arial"/>
                <w:sz w:val="24"/>
                <w:szCs w:val="24"/>
              </w:rPr>
            </w:pPr>
          </w:p>
        </w:tc>
        <w:tc>
          <w:tcPr>
            <w:tcW w:w="880" w:type="pct"/>
          </w:tcPr>
          <w:p w14:paraId="6DC7AC75" w14:textId="77777777" w:rsidR="0071528C" w:rsidRPr="00FF4C0B" w:rsidRDefault="0071528C" w:rsidP="0071528C">
            <w:pPr>
              <w:rPr>
                <w:rFonts w:ascii="Arial" w:hAnsi="Arial" w:cs="Arial"/>
              </w:rPr>
            </w:pPr>
            <w:r w:rsidRPr="00FF4C0B">
              <w:rPr>
                <w:rFonts w:ascii="Arial" w:hAnsi="Arial" w:cs="Arial"/>
              </w:rPr>
              <w:lastRenderedPageBreak/>
              <w:t>To specify the process of recovery of additional compensation for claims other than MRU as recommended by IES.</w:t>
            </w:r>
          </w:p>
          <w:p w14:paraId="202FF9B2" w14:textId="77777777" w:rsidR="0071528C" w:rsidRPr="00FF4C0B" w:rsidRDefault="0071528C" w:rsidP="0071528C">
            <w:pPr>
              <w:rPr>
                <w:rFonts w:ascii="Arial" w:hAnsi="Arial" w:cs="Arial"/>
              </w:rPr>
            </w:pPr>
          </w:p>
          <w:p w14:paraId="433BECCD" w14:textId="6B8AD86F" w:rsidR="0071528C" w:rsidRPr="0071528C" w:rsidRDefault="0071528C" w:rsidP="0071528C">
            <w:pPr>
              <w:pStyle w:val="Default"/>
              <w:rPr>
                <w:color w:val="auto"/>
                <w:sz w:val="22"/>
                <w:szCs w:val="22"/>
              </w:rPr>
            </w:pPr>
            <w:r w:rsidRPr="0071528C">
              <w:rPr>
                <w:color w:val="auto"/>
                <w:sz w:val="22"/>
                <w:szCs w:val="22"/>
              </w:rPr>
              <w:t>Renumbering due to insertion of new clause.</w:t>
            </w:r>
          </w:p>
        </w:tc>
        <w:tc>
          <w:tcPr>
            <w:tcW w:w="823" w:type="pct"/>
            <w:shd w:val="clear" w:color="auto" w:fill="FFFFFF" w:themeFill="background1"/>
          </w:tcPr>
          <w:p w14:paraId="6CF84C40" w14:textId="77777777" w:rsidR="0071528C" w:rsidRPr="00691003" w:rsidRDefault="0071528C" w:rsidP="0071528C">
            <w:pPr>
              <w:pStyle w:val="Default"/>
              <w:ind w:left="360"/>
              <w:jc w:val="both"/>
              <w:rPr>
                <w:color w:val="auto"/>
                <w:lang w:val="en-US"/>
              </w:rPr>
            </w:pPr>
          </w:p>
        </w:tc>
        <w:tc>
          <w:tcPr>
            <w:tcW w:w="822" w:type="pct"/>
            <w:shd w:val="clear" w:color="auto" w:fill="FFFFFF" w:themeFill="background1"/>
          </w:tcPr>
          <w:p w14:paraId="0C921842" w14:textId="77777777" w:rsidR="0071528C" w:rsidRPr="00691003" w:rsidRDefault="0071528C" w:rsidP="0071528C">
            <w:pPr>
              <w:pStyle w:val="Default"/>
              <w:ind w:left="360"/>
              <w:jc w:val="both"/>
              <w:rPr>
                <w:color w:val="auto"/>
                <w:lang w:val="en-US"/>
              </w:rPr>
            </w:pPr>
          </w:p>
        </w:tc>
      </w:tr>
    </w:tbl>
    <w:p w14:paraId="047F73B0" w14:textId="77777777" w:rsidR="003242DE" w:rsidRPr="00691003" w:rsidRDefault="003242DE" w:rsidP="00691003">
      <w:pPr>
        <w:jc w:val="both"/>
        <w:rPr>
          <w:rFonts w:ascii="Arial" w:hAnsi="Arial" w:cs="Arial"/>
          <w:sz w:val="24"/>
          <w:szCs w:val="24"/>
          <w:u w:val="single"/>
        </w:rPr>
      </w:pPr>
    </w:p>
    <w:sectPr w:rsidR="003242DE" w:rsidRPr="00691003" w:rsidSect="000D2D94">
      <w:headerReference w:type="default" r:id="rId7"/>
      <w:footerReference w:type="default" r:id="rId8"/>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7FD8" w14:textId="77777777" w:rsidR="00A170DF" w:rsidRDefault="00A170DF" w:rsidP="000D2D94">
      <w:pPr>
        <w:spacing w:after="0" w:line="240" w:lineRule="auto"/>
      </w:pPr>
      <w:r>
        <w:separator/>
      </w:r>
    </w:p>
  </w:endnote>
  <w:endnote w:type="continuationSeparator" w:id="0">
    <w:p w14:paraId="5580E429" w14:textId="77777777" w:rsidR="00A170DF" w:rsidRDefault="00A170DF"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Content>
      <w:sdt>
        <w:sdtPr>
          <w:id w:val="-1769616900"/>
          <w:docPartObj>
            <w:docPartGallery w:val="Page Numbers (Top of Page)"/>
            <w:docPartUnique/>
          </w:docPartObj>
        </w:sdt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47AD" w14:textId="77777777" w:rsidR="00A170DF" w:rsidRDefault="00A170DF" w:rsidP="000D2D94">
      <w:pPr>
        <w:spacing w:after="0" w:line="240" w:lineRule="auto"/>
      </w:pPr>
      <w:r>
        <w:separator/>
      </w:r>
    </w:p>
  </w:footnote>
  <w:footnote w:type="continuationSeparator" w:id="0">
    <w:p w14:paraId="6CEA8BEA" w14:textId="77777777" w:rsidR="00A170DF" w:rsidRDefault="00A170DF"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2C40" w14:textId="7F2CC4F9" w:rsidR="00BC4E24" w:rsidRPr="0071528C" w:rsidRDefault="000D2D94" w:rsidP="0071528C">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sidR="00B7516F">
      <w:rPr>
        <w:rFonts w:ascii="Arial" w:hAnsi="Arial" w:cs="Arial"/>
        <w:b/>
        <w:bCs/>
        <w:sz w:val="24"/>
        <w:szCs w:val="24"/>
        <w:lang w:val="en-US"/>
      </w:rPr>
      <w:t>“</w:t>
    </w:r>
    <w:r w:rsidR="0071528C" w:rsidRPr="0071528C">
      <w:rPr>
        <w:rFonts w:ascii="Arial" w:hAnsi="Arial" w:cs="Arial"/>
        <w:b/>
        <w:bCs/>
        <w:sz w:val="24"/>
        <w:szCs w:val="24"/>
        <w:lang w:val="en-US"/>
      </w:rPr>
      <w:t xml:space="preserve">ADOPTING FURTHER AMENDMENTS TO THE WHOLESALE ELECTRICITY SPOT MARKET (WESM) MARKET MANUAL ON BILLING AND SETTLEMENT </w:t>
    </w:r>
    <w:r w:rsidR="0071528C">
      <w:rPr>
        <w:rFonts w:ascii="Arial" w:hAnsi="Arial" w:cs="Arial"/>
        <w:b/>
        <w:bCs/>
        <w:sz w:val="24"/>
        <w:szCs w:val="24"/>
        <w:lang w:val="en-US"/>
      </w:rPr>
      <w:t>(P</w:t>
    </w:r>
    <w:r w:rsidR="0071528C" w:rsidRPr="0071528C">
      <w:rPr>
        <w:rFonts w:ascii="Arial" w:hAnsi="Arial" w:cs="Arial"/>
        <w:b/>
        <w:bCs/>
        <w:sz w:val="24"/>
        <w:szCs w:val="24"/>
        <w:lang w:val="en-US"/>
      </w:rPr>
      <w:t>rovisions on Additional Compensation Formula)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617"/>
    <w:multiLevelType w:val="hybridMultilevel"/>
    <w:tmpl w:val="9C88984E"/>
    <w:lvl w:ilvl="0" w:tplc="34090017">
      <w:start w:val="1"/>
      <w:numFmt w:val="lowerLetter"/>
      <w:lvlText w:val="%1)"/>
      <w:lvlJc w:val="left"/>
      <w:pPr>
        <w:ind w:left="720" w:hanging="360"/>
      </w:pPr>
      <w:rPr>
        <w:rFonts w:hint="default"/>
      </w:rPr>
    </w:lvl>
    <w:lvl w:ilvl="1" w:tplc="A0046B08">
      <w:start w:val="1"/>
      <w:numFmt w:val="lowerRoman"/>
      <w:lvlText w:val="%2."/>
      <w:lvlJc w:val="left"/>
      <w:pPr>
        <w:ind w:left="1440" w:hanging="360"/>
      </w:pPr>
      <w:rPr>
        <w:rFonts w:hint="default"/>
        <w:b/>
        <w:u w:val="single"/>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A752B98"/>
    <w:multiLevelType w:val="hybridMultilevel"/>
    <w:tmpl w:val="3F3C37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2EC0179"/>
    <w:multiLevelType w:val="hybridMultilevel"/>
    <w:tmpl w:val="882A20A0"/>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25072467"/>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6C26F92"/>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6D40FA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504812D6"/>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5BEA7B78"/>
    <w:multiLevelType w:val="hybridMultilevel"/>
    <w:tmpl w:val="5C0221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F297680"/>
    <w:multiLevelType w:val="hybridMultilevel"/>
    <w:tmpl w:val="5720D69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681D5EE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5B031A0"/>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43586757">
    <w:abstractNumId w:val="8"/>
  </w:num>
  <w:num w:numId="2" w16cid:durableId="897935241">
    <w:abstractNumId w:val="7"/>
  </w:num>
  <w:num w:numId="3" w16cid:durableId="1149710806">
    <w:abstractNumId w:val="11"/>
  </w:num>
  <w:num w:numId="4" w16cid:durableId="780343793">
    <w:abstractNumId w:val="6"/>
  </w:num>
  <w:num w:numId="5" w16cid:durableId="226231470">
    <w:abstractNumId w:val="12"/>
  </w:num>
  <w:num w:numId="6" w16cid:durableId="812866012">
    <w:abstractNumId w:val="5"/>
  </w:num>
  <w:num w:numId="7" w16cid:durableId="1469199007">
    <w:abstractNumId w:val="0"/>
  </w:num>
  <w:num w:numId="8" w16cid:durableId="921371116">
    <w:abstractNumId w:val="3"/>
  </w:num>
  <w:num w:numId="9" w16cid:durableId="1227842121">
    <w:abstractNumId w:val="9"/>
  </w:num>
  <w:num w:numId="10" w16cid:durableId="1098521240">
    <w:abstractNumId w:val="4"/>
  </w:num>
  <w:num w:numId="11" w16cid:durableId="1961956001">
    <w:abstractNumId w:val="1"/>
  </w:num>
  <w:num w:numId="12" w16cid:durableId="1177036387">
    <w:abstractNumId w:val="2"/>
  </w:num>
  <w:num w:numId="13" w16cid:durableId="1985158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D2D94"/>
    <w:rsid w:val="00126482"/>
    <w:rsid w:val="00157C2B"/>
    <w:rsid w:val="00254A66"/>
    <w:rsid w:val="003242DE"/>
    <w:rsid w:val="00485F44"/>
    <w:rsid w:val="00647FA1"/>
    <w:rsid w:val="00691003"/>
    <w:rsid w:val="0071528C"/>
    <w:rsid w:val="00843E47"/>
    <w:rsid w:val="00A170DF"/>
    <w:rsid w:val="00B50D99"/>
    <w:rsid w:val="00B7516F"/>
    <w:rsid w:val="00CB0B47"/>
    <w:rsid w:val="00D632E8"/>
    <w:rsid w:val="00DC6570"/>
    <w:rsid w:val="00E47726"/>
    <w:rsid w:val="00E57BE0"/>
    <w:rsid w:val="00F818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69100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rmaltextrun">
    <w:name w:val="normaltextrun"/>
    <w:basedOn w:val="DefaultParagraphFont"/>
    <w:rsid w:val="00B7516F"/>
  </w:style>
  <w:style w:type="paragraph" w:styleId="Caption">
    <w:name w:val="caption"/>
    <w:basedOn w:val="Normal"/>
    <w:next w:val="Normal"/>
    <w:uiPriority w:val="35"/>
    <w:unhideWhenUsed/>
    <w:qFormat/>
    <w:rsid w:val="003242DE"/>
    <w:pPr>
      <w:spacing w:after="200" w:line="240" w:lineRule="auto"/>
    </w:pPr>
    <w:rPr>
      <w:i/>
      <w:iCs/>
      <w:color w:val="44546A" w:themeColor="text2"/>
      <w:sz w:val="18"/>
      <w:szCs w:val="18"/>
    </w:rPr>
  </w:style>
  <w:style w:type="character" w:customStyle="1" w:styleId="fontstyle01">
    <w:name w:val="fontstyle01"/>
    <w:basedOn w:val="DefaultParagraphFont"/>
    <w:rsid w:val="0071528C"/>
    <w:rPr>
      <w:rFonts w:ascii="ArialMT" w:hAnsi="ArialMT" w:hint="default"/>
      <w:b w:val="0"/>
      <w:bCs w:val="0"/>
      <w:i w:val="0"/>
      <w:iCs w:val="0"/>
      <w:color w:val="000000"/>
      <w:sz w:val="22"/>
      <w:szCs w:val="22"/>
    </w:rPr>
  </w:style>
  <w:style w:type="character" w:customStyle="1" w:styleId="fontstyle21">
    <w:name w:val="fontstyle21"/>
    <w:basedOn w:val="DefaultParagraphFont"/>
    <w:rsid w:val="0071528C"/>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Melanie Papa</cp:lastModifiedBy>
  <cp:revision>3</cp:revision>
  <dcterms:created xsi:type="dcterms:W3CDTF">2022-12-28T06:20:00Z</dcterms:created>
  <dcterms:modified xsi:type="dcterms:W3CDTF">2022-12-28T06:26:00Z</dcterms:modified>
</cp:coreProperties>
</file>